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EEFB" w14:textId="7EBB469A" w:rsidR="00BF0B9C" w:rsidRDefault="00BF0B9C" w:rsidP="00A759FF">
      <w:pPr>
        <w:rPr>
          <w:rFonts w:ascii="Candara" w:hAnsi="Candara"/>
          <w:b/>
          <w:bCs/>
          <w:sz w:val="28"/>
          <w:szCs w:val="28"/>
          <w:u w:val="single"/>
        </w:rPr>
      </w:pPr>
      <w:r w:rsidRPr="008136F7">
        <w:rPr>
          <w:rFonts w:ascii="Candara" w:hAnsi="Candara"/>
          <w:b/>
          <w:bCs/>
          <w:sz w:val="28"/>
          <w:szCs w:val="28"/>
          <w:u w:val="single"/>
        </w:rPr>
        <w:t>Cr</w:t>
      </w:r>
      <w:r w:rsidR="00B6598B" w:rsidRPr="008136F7">
        <w:rPr>
          <w:rFonts w:ascii="Candara" w:hAnsi="Candara"/>
          <w:b/>
          <w:bCs/>
          <w:sz w:val="28"/>
          <w:szCs w:val="28"/>
          <w:u w:val="single"/>
        </w:rPr>
        <w:t>y</w:t>
      </w:r>
      <w:r w:rsidRPr="008136F7">
        <w:rPr>
          <w:rFonts w:ascii="Candara" w:hAnsi="Candara"/>
          <w:b/>
          <w:bCs/>
          <w:sz w:val="28"/>
          <w:szCs w:val="28"/>
          <w:u w:val="single"/>
        </w:rPr>
        <w:t xml:space="preserve">stallisation: </w:t>
      </w:r>
      <w:r w:rsidR="00B6598B" w:rsidRPr="008136F7">
        <w:rPr>
          <w:rFonts w:ascii="Candara" w:hAnsi="Candara"/>
          <w:b/>
          <w:bCs/>
          <w:sz w:val="28"/>
          <w:szCs w:val="28"/>
          <w:u w:val="single"/>
        </w:rPr>
        <w:t>Exploring teacherly thinking through an arts-based lens</w:t>
      </w:r>
    </w:p>
    <w:p w14:paraId="736A74A1" w14:textId="77777777" w:rsidR="002B0F61" w:rsidRPr="008136F7" w:rsidRDefault="002B0F61" w:rsidP="00A759FF">
      <w:pPr>
        <w:rPr>
          <w:rFonts w:ascii="Candara" w:hAnsi="Candara"/>
          <w:b/>
          <w:bCs/>
          <w:sz w:val="28"/>
          <w:szCs w:val="28"/>
          <w:u w:val="single"/>
        </w:rPr>
      </w:pPr>
    </w:p>
    <w:p w14:paraId="379C1298" w14:textId="3686B440" w:rsidR="00B6598B" w:rsidRPr="002B0F61" w:rsidRDefault="009B4D41" w:rsidP="00A759FF">
      <w:pPr>
        <w:rPr>
          <w:rFonts w:ascii="Candara" w:hAnsi="Candara"/>
          <w:b/>
          <w:bCs/>
          <w:sz w:val="24"/>
          <w:szCs w:val="24"/>
          <w:u w:val="single"/>
        </w:rPr>
      </w:pPr>
      <w:r w:rsidRPr="002B0F61">
        <w:rPr>
          <w:rFonts w:ascii="Candara" w:hAnsi="Candara"/>
          <w:b/>
          <w:bCs/>
          <w:sz w:val="24"/>
          <w:szCs w:val="24"/>
          <w:u w:val="single"/>
        </w:rPr>
        <w:t xml:space="preserve">‘A curious teacher’s guide to thinking and being’: </w:t>
      </w:r>
      <w:r w:rsidR="00B6598B" w:rsidRPr="002B0F61">
        <w:rPr>
          <w:rFonts w:ascii="Candara" w:hAnsi="Candara"/>
          <w:b/>
          <w:bCs/>
          <w:sz w:val="24"/>
          <w:szCs w:val="24"/>
          <w:u w:val="single"/>
        </w:rPr>
        <w:t>Reference list</w:t>
      </w:r>
    </w:p>
    <w:p w14:paraId="054A806D" w14:textId="77777777" w:rsidR="00B27965" w:rsidRDefault="002A6E62" w:rsidP="00A759FF">
      <w:pPr>
        <w:rPr>
          <w:rFonts w:ascii="Candara" w:hAnsi="Candara"/>
          <w:sz w:val="20"/>
          <w:szCs w:val="20"/>
        </w:rPr>
      </w:pPr>
      <w:r>
        <w:rPr>
          <w:rFonts w:ascii="Candara" w:hAnsi="Candara"/>
          <w:sz w:val="20"/>
          <w:szCs w:val="20"/>
        </w:rPr>
        <w:t xml:space="preserve">Acker, </w:t>
      </w:r>
      <w:r w:rsidR="00C001B4">
        <w:rPr>
          <w:rFonts w:ascii="Candara" w:hAnsi="Candara"/>
          <w:sz w:val="20"/>
          <w:szCs w:val="20"/>
        </w:rPr>
        <w:t>S. (1999) The realities of teachers’ work: Never a dull moment. London: Cassell.</w:t>
      </w:r>
    </w:p>
    <w:p w14:paraId="6492BF20" w14:textId="77777777" w:rsidR="00A16498" w:rsidRDefault="00B27965" w:rsidP="00A759FF">
      <w:pPr>
        <w:rPr>
          <w:rFonts w:ascii="Candara" w:hAnsi="Candara"/>
          <w:sz w:val="20"/>
          <w:szCs w:val="20"/>
        </w:rPr>
      </w:pPr>
      <w:r>
        <w:rPr>
          <w:rFonts w:ascii="Candara" w:hAnsi="Candara"/>
          <w:sz w:val="20"/>
          <w:szCs w:val="20"/>
        </w:rPr>
        <w:t>Alexander</w:t>
      </w:r>
      <w:r w:rsidR="00A16498">
        <w:rPr>
          <w:rFonts w:ascii="Candara" w:hAnsi="Candara"/>
          <w:sz w:val="20"/>
          <w:szCs w:val="20"/>
        </w:rPr>
        <w:t>, R. (2010) Children their World, their Education. London: Routledge.</w:t>
      </w:r>
    </w:p>
    <w:p w14:paraId="26BDB5B8" w14:textId="646A7EE3" w:rsidR="00A759FF" w:rsidRPr="00A85E8D" w:rsidRDefault="00A759FF" w:rsidP="00A759FF">
      <w:pPr>
        <w:rPr>
          <w:rFonts w:ascii="Candara" w:hAnsi="Candara"/>
          <w:sz w:val="20"/>
          <w:szCs w:val="20"/>
        </w:rPr>
      </w:pPr>
      <w:r w:rsidRPr="00A85E8D">
        <w:rPr>
          <w:rFonts w:ascii="Candara" w:hAnsi="Candara"/>
          <w:sz w:val="20"/>
          <w:szCs w:val="20"/>
        </w:rPr>
        <w:t xml:space="preserve">Anderson, D. (2002). Creative teachers: Risk, </w:t>
      </w:r>
      <w:proofErr w:type="gramStart"/>
      <w:r w:rsidRPr="00A85E8D">
        <w:rPr>
          <w:rFonts w:ascii="Candara" w:hAnsi="Candara"/>
          <w:sz w:val="20"/>
          <w:szCs w:val="20"/>
        </w:rPr>
        <w:t>responsibility</w:t>
      </w:r>
      <w:proofErr w:type="gramEnd"/>
      <w:r w:rsidRPr="00A85E8D">
        <w:rPr>
          <w:rFonts w:ascii="Candara" w:hAnsi="Candara"/>
          <w:sz w:val="20"/>
          <w:szCs w:val="20"/>
        </w:rPr>
        <w:t xml:space="preserve"> and love. Journal of Education, 183(1), 33–48.</w:t>
      </w:r>
    </w:p>
    <w:p w14:paraId="0504B067" w14:textId="0A9FF73C" w:rsidR="00102CF0" w:rsidRDefault="00D8083F" w:rsidP="00D46E7C">
      <w:pPr>
        <w:autoSpaceDE w:val="0"/>
        <w:autoSpaceDN w:val="0"/>
        <w:adjustRightInd w:val="0"/>
        <w:spacing w:after="240" w:line="240" w:lineRule="auto"/>
        <w:rPr>
          <w:rFonts w:ascii="Candara" w:hAnsi="Candara" w:cs="Open Sans"/>
          <w:sz w:val="20"/>
          <w:szCs w:val="20"/>
          <w:shd w:val="clear" w:color="auto" w:fill="FFFFFF"/>
        </w:rPr>
      </w:pPr>
      <w:r w:rsidRPr="00102CF0">
        <w:rPr>
          <w:rFonts w:ascii="Candara" w:hAnsi="Candara" w:cs="Open Sans"/>
          <w:sz w:val="20"/>
          <w:szCs w:val="20"/>
          <w:shd w:val="clear" w:color="auto" w:fill="FFFFFF"/>
        </w:rPr>
        <w:t xml:space="preserve">Atwood, M. </w:t>
      </w:r>
      <w:r w:rsidR="00FB7A5F">
        <w:rPr>
          <w:rFonts w:ascii="Candara" w:hAnsi="Candara" w:cs="Open Sans"/>
          <w:sz w:val="20"/>
          <w:szCs w:val="20"/>
          <w:shd w:val="clear" w:color="auto" w:fill="FFFFFF"/>
        </w:rPr>
        <w:t>(2013)</w:t>
      </w:r>
      <w:r w:rsidRPr="00102CF0">
        <w:rPr>
          <w:rFonts w:ascii="Candara" w:hAnsi="Candara" w:cs="Open Sans"/>
          <w:sz w:val="20"/>
          <w:szCs w:val="20"/>
          <w:shd w:val="clear" w:color="auto" w:fill="FFFFFF"/>
        </w:rPr>
        <w:t>. </w:t>
      </w:r>
      <w:r w:rsidR="00FB7A5F" w:rsidRPr="00FB7A5F">
        <w:rPr>
          <w:rFonts w:ascii="Candara" w:hAnsi="Candara" w:cs="Open Sans"/>
          <w:i/>
          <w:iCs/>
          <w:sz w:val="20"/>
          <w:szCs w:val="20"/>
          <w:shd w:val="clear" w:color="auto" w:fill="FFFFFF"/>
        </w:rPr>
        <w:t> </w:t>
      </w:r>
      <w:proofErr w:type="spellStart"/>
      <w:r w:rsidR="00FB7A5F" w:rsidRPr="00FB7A5F">
        <w:rPr>
          <w:rFonts w:ascii="Candara" w:hAnsi="Candara" w:cs="Open Sans"/>
          <w:i/>
          <w:iCs/>
          <w:sz w:val="20"/>
          <w:szCs w:val="20"/>
          <w:shd w:val="clear" w:color="auto" w:fill="FFFFFF"/>
        </w:rPr>
        <w:t>MaddAddam</w:t>
      </w:r>
      <w:proofErr w:type="spellEnd"/>
      <w:r w:rsidR="00FB7A5F" w:rsidRPr="00FB7A5F">
        <w:rPr>
          <w:rFonts w:ascii="Candara" w:hAnsi="Candara" w:cs="Open Sans"/>
          <w:i/>
          <w:iCs/>
          <w:sz w:val="20"/>
          <w:szCs w:val="20"/>
          <w:shd w:val="clear" w:color="auto" w:fill="FFFFFF"/>
        </w:rPr>
        <w:t xml:space="preserve">: A Novel. First United States edition. New York, Nan A. </w:t>
      </w:r>
      <w:proofErr w:type="spellStart"/>
      <w:r w:rsidR="00FB7A5F" w:rsidRPr="00FB7A5F">
        <w:rPr>
          <w:rFonts w:ascii="Candara" w:hAnsi="Candara" w:cs="Open Sans"/>
          <w:i/>
          <w:iCs/>
          <w:sz w:val="20"/>
          <w:szCs w:val="20"/>
          <w:shd w:val="clear" w:color="auto" w:fill="FFFFFF"/>
        </w:rPr>
        <w:t>Talese</w:t>
      </w:r>
      <w:proofErr w:type="spellEnd"/>
      <w:r w:rsidR="00FB7A5F" w:rsidRPr="00FB7A5F">
        <w:rPr>
          <w:rFonts w:ascii="Candara" w:hAnsi="Candara" w:cs="Open Sans"/>
          <w:i/>
          <w:iCs/>
          <w:sz w:val="20"/>
          <w:szCs w:val="20"/>
          <w:shd w:val="clear" w:color="auto" w:fill="FFFFFF"/>
        </w:rPr>
        <w:t>/Doubleday</w:t>
      </w:r>
      <w:r w:rsidR="00FB7A5F">
        <w:rPr>
          <w:rFonts w:ascii="Candara" w:hAnsi="Candara" w:cs="Open Sans"/>
          <w:i/>
          <w:iCs/>
          <w:sz w:val="20"/>
          <w:szCs w:val="20"/>
          <w:shd w:val="clear" w:color="auto" w:fill="FFFFFF"/>
        </w:rPr>
        <w:t>.</w:t>
      </w:r>
    </w:p>
    <w:p w14:paraId="2B5CB98A" w14:textId="674BE768" w:rsidR="00A9082E" w:rsidRDefault="00A9082E" w:rsidP="00D46E7C">
      <w:pPr>
        <w:autoSpaceDE w:val="0"/>
        <w:autoSpaceDN w:val="0"/>
        <w:adjustRightInd w:val="0"/>
        <w:spacing w:after="240" w:line="240" w:lineRule="auto"/>
        <w:rPr>
          <w:rFonts w:ascii="Candara" w:hAnsi="Candara" w:cs="Open Sans"/>
          <w:sz w:val="20"/>
          <w:szCs w:val="20"/>
          <w:shd w:val="clear" w:color="auto" w:fill="FFFFFF"/>
        </w:rPr>
      </w:pPr>
      <w:r w:rsidRPr="00A9082E">
        <w:rPr>
          <w:rFonts w:ascii="Candara" w:hAnsi="Candara" w:cs="Open Sans"/>
          <w:sz w:val="20"/>
          <w:szCs w:val="20"/>
          <w:shd w:val="clear" w:color="auto" w:fill="FFFFFF"/>
        </w:rPr>
        <w:t>Beck</w:t>
      </w:r>
      <w:r>
        <w:rPr>
          <w:rFonts w:ascii="Candara" w:hAnsi="Candara" w:cs="Open Sans"/>
          <w:sz w:val="20"/>
          <w:szCs w:val="20"/>
          <w:shd w:val="clear" w:color="auto" w:fill="FFFFFF"/>
        </w:rPr>
        <w:t>, J.</w:t>
      </w:r>
      <w:r w:rsidRPr="00A9082E">
        <w:rPr>
          <w:rFonts w:ascii="Candara" w:hAnsi="Candara" w:cs="Open Sans"/>
          <w:sz w:val="20"/>
          <w:szCs w:val="20"/>
          <w:shd w:val="clear" w:color="auto" w:fill="FFFFFF"/>
        </w:rPr>
        <w:t xml:space="preserve"> &amp; Young</w:t>
      </w:r>
      <w:r>
        <w:rPr>
          <w:rFonts w:ascii="Candara" w:hAnsi="Candara" w:cs="Open Sans"/>
          <w:sz w:val="20"/>
          <w:szCs w:val="20"/>
          <w:shd w:val="clear" w:color="auto" w:fill="FFFFFF"/>
        </w:rPr>
        <w:t>, M.F.D</w:t>
      </w:r>
      <w:r w:rsidR="000A6B20">
        <w:rPr>
          <w:rFonts w:ascii="Candara" w:hAnsi="Candara" w:cs="Open Sans"/>
          <w:sz w:val="20"/>
          <w:szCs w:val="20"/>
          <w:shd w:val="clear" w:color="auto" w:fill="FFFFFF"/>
        </w:rPr>
        <w:t>.</w:t>
      </w:r>
      <w:r w:rsidRPr="00A9082E">
        <w:rPr>
          <w:rFonts w:ascii="Candara" w:hAnsi="Candara" w:cs="Open Sans"/>
          <w:sz w:val="20"/>
          <w:szCs w:val="20"/>
          <w:shd w:val="clear" w:color="auto" w:fill="FFFFFF"/>
        </w:rPr>
        <w:t> (2005) The assault on the professions and the restructuring of academic and professional identities: a Bernsteinian analysis, British Journal of Sociology of Education, 26:2, 183-197, DOI: </w:t>
      </w:r>
      <w:hyperlink r:id="rId7" w:history="1">
        <w:r w:rsidRPr="00A9082E">
          <w:rPr>
            <w:rStyle w:val="Hyperlink"/>
            <w:rFonts w:ascii="Candara" w:hAnsi="Candara" w:cs="Open Sans"/>
            <w:sz w:val="20"/>
            <w:szCs w:val="20"/>
            <w:shd w:val="clear" w:color="auto" w:fill="FFFFFF"/>
          </w:rPr>
          <w:t>10.1080/0142569042000294165</w:t>
        </w:r>
      </w:hyperlink>
    </w:p>
    <w:p w14:paraId="14398FC9" w14:textId="315AD75C" w:rsidR="00D46E7C" w:rsidRPr="00102CF0" w:rsidRDefault="00D46E7C" w:rsidP="00D46E7C">
      <w:pPr>
        <w:autoSpaceDE w:val="0"/>
        <w:autoSpaceDN w:val="0"/>
        <w:adjustRightInd w:val="0"/>
        <w:spacing w:after="240" w:line="240" w:lineRule="auto"/>
        <w:rPr>
          <w:rFonts w:ascii="Candara" w:hAnsi="Candara" w:cs="Arial"/>
          <w:sz w:val="20"/>
          <w:szCs w:val="20"/>
        </w:rPr>
      </w:pPr>
      <w:r w:rsidRPr="00102CF0">
        <w:rPr>
          <w:rFonts w:ascii="Candara" w:hAnsi="Candara" w:cs="Arial"/>
          <w:sz w:val="20"/>
          <w:szCs w:val="20"/>
        </w:rPr>
        <w:t>Berliner, D. C. (1986). In pursuit of the expert pedagogue. Educational Researcher, 15(7), 5-13.</w:t>
      </w:r>
    </w:p>
    <w:p w14:paraId="7F4DE0C4" w14:textId="77777777" w:rsidR="00D46E7C" w:rsidRPr="00A85E8D"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Berliner, D. C., and Carter, K. J. (1986, October). Differences in processing classroom information by expert and novice teachers. Paper presented at the meeting of the International Study Association on Teacher Thinking, Leuven, Belgium.</w:t>
      </w:r>
    </w:p>
    <w:p w14:paraId="7E151CF1" w14:textId="65F967A8" w:rsidR="00BF0B9C" w:rsidRDefault="00000000" w:rsidP="00BF0B9C">
      <w:pPr>
        <w:spacing w:after="0" w:line="240" w:lineRule="auto"/>
        <w:rPr>
          <w:rFonts w:ascii="Candara" w:eastAsia="Times New Roman" w:hAnsi="Candara" w:cs="Arial"/>
          <w:sz w:val="20"/>
          <w:szCs w:val="20"/>
          <w:lang w:eastAsia="en-GB"/>
        </w:rPr>
      </w:pPr>
      <w:hyperlink r:id="rId8" w:anchor="bbib2" w:history="1">
        <w:r w:rsidR="00BF0B9C" w:rsidRPr="00D30E9A">
          <w:rPr>
            <w:rFonts w:ascii="Candara" w:eastAsia="Times New Roman" w:hAnsi="Candara" w:cs="Arial"/>
            <w:sz w:val="20"/>
            <w:szCs w:val="20"/>
            <w:lang w:eastAsia="en-GB"/>
          </w:rPr>
          <w:t xml:space="preserve">Brookfield, </w:t>
        </w:r>
        <w:r w:rsidR="00BF0B9C" w:rsidRPr="00A759FF">
          <w:rPr>
            <w:rFonts w:ascii="Candara" w:eastAsia="Times New Roman" w:hAnsi="Candara" w:cs="Arial"/>
            <w:sz w:val="20"/>
            <w:szCs w:val="20"/>
            <w:lang w:eastAsia="en-GB"/>
          </w:rPr>
          <w:t>S.D. (</w:t>
        </w:r>
        <w:r w:rsidR="00BF0B9C" w:rsidRPr="00D30E9A">
          <w:rPr>
            <w:rFonts w:ascii="Candara" w:eastAsia="Times New Roman" w:hAnsi="Candara" w:cs="Arial"/>
            <w:sz w:val="20"/>
            <w:szCs w:val="20"/>
            <w:lang w:eastAsia="en-GB"/>
          </w:rPr>
          <w:t>1995</w:t>
        </w:r>
      </w:hyperlink>
      <w:r w:rsidR="00BF0B9C" w:rsidRPr="00A759FF">
        <w:rPr>
          <w:rFonts w:ascii="Candara" w:eastAsia="Times New Roman" w:hAnsi="Candara" w:cs="Arial"/>
          <w:sz w:val="20"/>
          <w:szCs w:val="20"/>
          <w:lang w:eastAsia="en-GB"/>
        </w:rPr>
        <w:t xml:space="preserve">) </w:t>
      </w:r>
      <w:r w:rsidR="00BF0B9C" w:rsidRPr="00D30E9A">
        <w:rPr>
          <w:rFonts w:ascii="Candara" w:eastAsia="Times New Roman" w:hAnsi="Candara" w:cs="Times New Roman"/>
          <w:sz w:val="20"/>
          <w:szCs w:val="20"/>
          <w:lang w:eastAsia="en-GB"/>
        </w:rPr>
        <w:t>Becoming a critically reflective teacher</w:t>
      </w:r>
      <w:r w:rsidR="00BF0B9C" w:rsidRPr="00A759FF">
        <w:rPr>
          <w:rFonts w:ascii="Candara" w:eastAsia="Times New Roman" w:hAnsi="Candara" w:cs="Arial"/>
          <w:sz w:val="20"/>
          <w:szCs w:val="20"/>
          <w:lang w:eastAsia="en-GB"/>
        </w:rPr>
        <w:t xml:space="preserve">. </w:t>
      </w:r>
      <w:r w:rsidR="00BF0B9C" w:rsidRPr="00D30E9A">
        <w:rPr>
          <w:rFonts w:ascii="Candara" w:eastAsia="Times New Roman" w:hAnsi="Candara" w:cs="Arial"/>
          <w:sz w:val="20"/>
          <w:szCs w:val="20"/>
          <w:lang w:eastAsia="en-GB"/>
        </w:rPr>
        <w:t>Jossey-Bass, San Francisco </w:t>
      </w:r>
    </w:p>
    <w:p w14:paraId="5C17C41D" w14:textId="77777777" w:rsidR="00BF0B9C" w:rsidRPr="00A759FF" w:rsidRDefault="00BF0B9C" w:rsidP="00BF0B9C">
      <w:pPr>
        <w:spacing w:after="0" w:line="240" w:lineRule="auto"/>
        <w:rPr>
          <w:rFonts w:ascii="Candara" w:eastAsia="Times New Roman" w:hAnsi="Candara" w:cs="Arial"/>
          <w:sz w:val="20"/>
          <w:szCs w:val="20"/>
          <w:lang w:eastAsia="en-GB"/>
        </w:rPr>
      </w:pPr>
    </w:p>
    <w:p w14:paraId="69B4BBBB" w14:textId="77777777" w:rsidR="00D46E7C" w:rsidRPr="00A85E8D"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Clark, C. M. (1988). Asking the right questions about teacher preparation: Contributions of research on teacher thinking. Educational Researcher, 17(2), 5-12.</w:t>
      </w:r>
    </w:p>
    <w:p w14:paraId="5592F0F0" w14:textId="77777777" w:rsidR="00D46E7C" w:rsidRPr="00A85E8D"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Clark, C., and Lampert, M. (1986). The study of teacher thinking: Implications for teacher education. Journal of Teacher Education, 37(5), 27-31.</w:t>
      </w:r>
    </w:p>
    <w:p w14:paraId="49AC74C1" w14:textId="77777777" w:rsidR="00A85E8D" w:rsidRDefault="00A85E8D" w:rsidP="00A85E8D">
      <w:pPr>
        <w:rPr>
          <w:rFonts w:ascii="Candara" w:hAnsi="Candara" w:cs="Arial"/>
          <w:sz w:val="20"/>
          <w:szCs w:val="20"/>
        </w:rPr>
      </w:pPr>
      <w:r w:rsidRPr="00A85E8D">
        <w:rPr>
          <w:rFonts w:ascii="Candara" w:hAnsi="Candara" w:cs="Arial"/>
          <w:sz w:val="20"/>
          <w:szCs w:val="20"/>
        </w:rPr>
        <w:t>Clark, C. and Peterson, P. (1986) Teachers thought processes. In M.C. Wittrock (ed), Handbook of research on teaching (3</w:t>
      </w:r>
      <w:r w:rsidRPr="00A85E8D">
        <w:rPr>
          <w:rFonts w:ascii="Candara" w:hAnsi="Candara" w:cs="Arial"/>
          <w:sz w:val="20"/>
          <w:szCs w:val="20"/>
          <w:vertAlign w:val="superscript"/>
        </w:rPr>
        <w:t>rd</w:t>
      </w:r>
      <w:r w:rsidRPr="00A85E8D">
        <w:rPr>
          <w:rFonts w:ascii="Candara" w:hAnsi="Candara" w:cs="Arial"/>
          <w:sz w:val="20"/>
          <w:szCs w:val="20"/>
        </w:rPr>
        <w:t xml:space="preserve"> ed., pp255-296) New York: Macmillan Publishing Company.</w:t>
      </w:r>
    </w:p>
    <w:p w14:paraId="19DADAB3" w14:textId="39764CF0" w:rsidR="00655C6D" w:rsidRDefault="00655C6D" w:rsidP="00A85E8D">
      <w:pPr>
        <w:rPr>
          <w:rFonts w:ascii="Candara" w:hAnsi="Candara" w:cs="Arial"/>
          <w:sz w:val="20"/>
          <w:szCs w:val="20"/>
        </w:rPr>
      </w:pPr>
      <w:r w:rsidRPr="00A10C8D">
        <w:rPr>
          <w:rFonts w:ascii="Candara" w:hAnsi="Candara" w:cs="Arial"/>
          <w:sz w:val="20"/>
          <w:szCs w:val="20"/>
          <w:highlight w:val="yellow"/>
        </w:rPr>
        <w:t>Dunkin</w:t>
      </w:r>
      <w:r w:rsidR="00A10C8D" w:rsidRPr="00A10C8D">
        <w:rPr>
          <w:rFonts w:ascii="Candara" w:hAnsi="Candara" w:cs="Arial"/>
          <w:sz w:val="20"/>
          <w:szCs w:val="20"/>
          <w:highlight w:val="yellow"/>
        </w:rPr>
        <w:t xml:space="preserve"> (2002)</w:t>
      </w:r>
    </w:p>
    <w:p w14:paraId="22FCFDDC" w14:textId="77777777" w:rsidR="00036A4F" w:rsidRDefault="00036A4F" w:rsidP="00A85E8D">
      <w:pPr>
        <w:rPr>
          <w:rFonts w:ascii="Candara" w:hAnsi="Candara" w:cs="Arial"/>
          <w:sz w:val="20"/>
          <w:szCs w:val="20"/>
        </w:rPr>
      </w:pPr>
      <w:r w:rsidRPr="00036A4F">
        <w:rPr>
          <w:rFonts w:ascii="Candara" w:hAnsi="Candara" w:cs="Arial"/>
          <w:sz w:val="20"/>
          <w:szCs w:val="20"/>
        </w:rPr>
        <w:t>Department for Education. (2019a). </w:t>
      </w:r>
      <w:r w:rsidRPr="00036A4F">
        <w:rPr>
          <w:rFonts w:ascii="Candara" w:hAnsi="Candara" w:cs="Arial"/>
          <w:i/>
          <w:iCs/>
          <w:sz w:val="20"/>
          <w:szCs w:val="20"/>
        </w:rPr>
        <w:t>ITT core content</w:t>
      </w:r>
      <w:r>
        <w:rPr>
          <w:rFonts w:ascii="Candara" w:hAnsi="Candara" w:cs="Arial"/>
          <w:i/>
          <w:iCs/>
          <w:sz w:val="20"/>
          <w:szCs w:val="20"/>
        </w:rPr>
        <w:t xml:space="preserve"> </w:t>
      </w:r>
      <w:r w:rsidRPr="00036A4F">
        <w:rPr>
          <w:rFonts w:ascii="Candara" w:hAnsi="Candara" w:cs="Arial"/>
          <w:i/>
          <w:iCs/>
          <w:sz w:val="20"/>
          <w:szCs w:val="20"/>
        </w:rPr>
        <w:t>framework</w:t>
      </w:r>
      <w:r w:rsidRPr="00036A4F">
        <w:rPr>
          <w:rFonts w:ascii="Candara" w:hAnsi="Candara" w:cs="Arial"/>
          <w:sz w:val="20"/>
          <w:szCs w:val="20"/>
        </w:rPr>
        <w:t>.</w:t>
      </w:r>
      <w:r>
        <w:rPr>
          <w:rFonts w:ascii="Candara" w:hAnsi="Candara" w:cs="Arial"/>
          <w:sz w:val="20"/>
          <w:szCs w:val="20"/>
        </w:rPr>
        <w:t xml:space="preserve"> </w:t>
      </w:r>
      <w:r w:rsidRPr="00036A4F">
        <w:rPr>
          <w:rFonts w:ascii="Candara" w:hAnsi="Candara" w:cs="Arial"/>
          <w:sz w:val="20"/>
          <w:szCs w:val="20"/>
        </w:rPr>
        <w:t> </w:t>
      </w:r>
    </w:p>
    <w:p w14:paraId="3B88E55A" w14:textId="440350EE" w:rsidR="00036A4F" w:rsidRDefault="00000000" w:rsidP="00F0136C">
      <w:pPr>
        <w:rPr>
          <w:rFonts w:ascii="Candara" w:hAnsi="Candara" w:cs="Arial"/>
          <w:sz w:val="20"/>
          <w:szCs w:val="20"/>
        </w:rPr>
      </w:pPr>
      <w:hyperlink r:id="rId9" w:history="1">
        <w:r w:rsidR="00F0136C" w:rsidRPr="00B83D16">
          <w:rPr>
            <w:rStyle w:val="Hyperlink"/>
            <w:rFonts w:ascii="Candara" w:hAnsi="Candara" w:cs="Arial"/>
            <w:sz w:val="20"/>
            <w:szCs w:val="20"/>
          </w:rPr>
          <w:t>https://www.gov.uk/government/publications/initial-teacher-training-itt-core-content-framework</w:t>
        </w:r>
      </w:hyperlink>
    </w:p>
    <w:p w14:paraId="6FFDEA90" w14:textId="77777777" w:rsidR="003D6A12" w:rsidRDefault="003D6A12" w:rsidP="00F0136C">
      <w:pPr>
        <w:rPr>
          <w:rFonts w:ascii="Candara" w:hAnsi="Candara" w:cs="Arial"/>
          <w:sz w:val="20"/>
          <w:szCs w:val="20"/>
        </w:rPr>
      </w:pPr>
      <w:r w:rsidRPr="003D6A12">
        <w:rPr>
          <w:rFonts w:ascii="Candara" w:hAnsi="Candara" w:cs="Arial"/>
          <w:sz w:val="20"/>
          <w:szCs w:val="20"/>
        </w:rPr>
        <w:t>Department for Education. (2019b). </w:t>
      </w:r>
      <w:r w:rsidRPr="003D6A12">
        <w:rPr>
          <w:rFonts w:ascii="Candara" w:hAnsi="Candara" w:cs="Arial"/>
          <w:i/>
          <w:iCs/>
          <w:sz w:val="20"/>
          <w:szCs w:val="20"/>
        </w:rPr>
        <w:t>Early career framework</w:t>
      </w:r>
      <w:r w:rsidRPr="003D6A12">
        <w:rPr>
          <w:rFonts w:ascii="Candara" w:hAnsi="Candara" w:cs="Arial"/>
          <w:sz w:val="20"/>
          <w:szCs w:val="20"/>
        </w:rPr>
        <w:t>. </w:t>
      </w:r>
    </w:p>
    <w:p w14:paraId="2676037C" w14:textId="625B0537" w:rsidR="003D6A12" w:rsidRDefault="00000000" w:rsidP="00A85E8D">
      <w:pPr>
        <w:rPr>
          <w:rFonts w:ascii="Candara" w:hAnsi="Candara" w:cs="Arial"/>
          <w:sz w:val="20"/>
          <w:szCs w:val="20"/>
        </w:rPr>
      </w:pPr>
      <w:hyperlink r:id="rId10" w:history="1">
        <w:r w:rsidR="00F0136C" w:rsidRPr="00B83D16">
          <w:rPr>
            <w:rStyle w:val="Hyperlink"/>
            <w:rFonts w:ascii="Candara" w:hAnsi="Candara" w:cs="Arial"/>
            <w:sz w:val="20"/>
            <w:szCs w:val="20"/>
          </w:rPr>
          <w:t>https://www.gov.uk/government/publications/early-career-framework</w:t>
        </w:r>
      </w:hyperlink>
    </w:p>
    <w:p w14:paraId="2D9C3F06" w14:textId="77777777" w:rsidR="00F0136C" w:rsidRDefault="00F0136C" w:rsidP="00A85E8D">
      <w:pPr>
        <w:rPr>
          <w:rFonts w:ascii="Candara" w:hAnsi="Candara" w:cs="Arial"/>
          <w:sz w:val="20"/>
          <w:szCs w:val="20"/>
        </w:rPr>
      </w:pPr>
      <w:r w:rsidRPr="00F0136C">
        <w:rPr>
          <w:rFonts w:ascii="Candara" w:hAnsi="Candara" w:cs="Arial"/>
          <w:sz w:val="20"/>
          <w:szCs w:val="20"/>
        </w:rPr>
        <w:t>Department for Education. (2011). </w:t>
      </w:r>
      <w:r w:rsidRPr="00F0136C">
        <w:rPr>
          <w:rFonts w:ascii="Candara" w:hAnsi="Candara" w:cs="Arial"/>
          <w:i/>
          <w:iCs/>
          <w:sz w:val="20"/>
          <w:szCs w:val="20"/>
        </w:rPr>
        <w:t>The teachers’</w:t>
      </w:r>
      <w:r>
        <w:rPr>
          <w:rFonts w:ascii="Candara" w:hAnsi="Candara" w:cs="Arial"/>
          <w:i/>
          <w:iCs/>
          <w:sz w:val="20"/>
          <w:szCs w:val="20"/>
        </w:rPr>
        <w:t xml:space="preserve"> </w:t>
      </w:r>
      <w:r w:rsidRPr="00F0136C">
        <w:rPr>
          <w:rFonts w:ascii="Candara" w:hAnsi="Candara" w:cs="Arial"/>
          <w:i/>
          <w:iCs/>
          <w:sz w:val="20"/>
          <w:szCs w:val="20"/>
        </w:rPr>
        <w:t>standards</w:t>
      </w:r>
      <w:r w:rsidRPr="00F0136C">
        <w:rPr>
          <w:rFonts w:ascii="Candara" w:hAnsi="Candara" w:cs="Arial"/>
          <w:sz w:val="20"/>
          <w:szCs w:val="20"/>
        </w:rPr>
        <w:t>. </w:t>
      </w:r>
    </w:p>
    <w:p w14:paraId="7E853BF7" w14:textId="1C22C46C" w:rsidR="00F0136C" w:rsidRPr="00036A4F" w:rsidRDefault="00000000" w:rsidP="00A85E8D">
      <w:pPr>
        <w:rPr>
          <w:rFonts w:ascii="Candara" w:hAnsi="Candara" w:cs="Arial"/>
          <w:sz w:val="20"/>
          <w:szCs w:val="20"/>
        </w:rPr>
      </w:pPr>
      <w:hyperlink r:id="rId11" w:history="1">
        <w:r w:rsidR="00F0136C" w:rsidRPr="00B83D16">
          <w:rPr>
            <w:rStyle w:val="Hyperlink"/>
            <w:rFonts w:ascii="Candara" w:hAnsi="Candara" w:cs="Arial"/>
            <w:sz w:val="20"/>
            <w:szCs w:val="20"/>
          </w:rPr>
          <w:t>https://www.gov.uk/government/publications/teachers-standards</w:t>
        </w:r>
      </w:hyperlink>
    </w:p>
    <w:p w14:paraId="4000EFF2" w14:textId="699BEC4A" w:rsidR="00797F53" w:rsidRDefault="00797F53" w:rsidP="00A85E8D">
      <w:pPr>
        <w:rPr>
          <w:rFonts w:ascii="Candara" w:hAnsi="Candara" w:cs="Arial"/>
          <w:sz w:val="20"/>
          <w:szCs w:val="20"/>
          <w:shd w:val="clear" w:color="auto" w:fill="FFFFFF"/>
        </w:rPr>
      </w:pPr>
      <w:r w:rsidRPr="00797F53">
        <w:rPr>
          <w:rFonts w:ascii="Candara" w:hAnsi="Candara" w:cs="Arial"/>
          <w:sz w:val="20"/>
          <w:szCs w:val="20"/>
          <w:shd w:val="clear" w:color="auto" w:fill="FFFFFF"/>
        </w:rPr>
        <w:t>Christoff, K., Gordon, A. M., Smallwood, J., Smith, R., &amp; Schooler, J. W. (2009). Experience sampling during fMRI reveals default network and executive system contributions to mind wandering. </w:t>
      </w:r>
      <w:r w:rsidRPr="00797F53">
        <w:rPr>
          <w:rFonts w:ascii="Candara" w:hAnsi="Candara" w:cs="Arial"/>
          <w:i/>
          <w:iCs/>
          <w:sz w:val="20"/>
          <w:szCs w:val="20"/>
          <w:shd w:val="clear" w:color="auto" w:fill="FFFFFF"/>
        </w:rPr>
        <w:t>Proceedings of the National Academy of Sciences of the United States of America</w:t>
      </w:r>
      <w:r w:rsidRPr="00797F53">
        <w:rPr>
          <w:rFonts w:ascii="Candara" w:hAnsi="Candara" w:cs="Arial"/>
          <w:sz w:val="20"/>
          <w:szCs w:val="20"/>
          <w:shd w:val="clear" w:color="auto" w:fill="FFFFFF"/>
        </w:rPr>
        <w:t>, </w:t>
      </w:r>
      <w:r w:rsidRPr="00797F53">
        <w:rPr>
          <w:rFonts w:ascii="Candara" w:hAnsi="Candara" w:cs="Arial"/>
          <w:i/>
          <w:iCs/>
          <w:sz w:val="20"/>
          <w:szCs w:val="20"/>
          <w:shd w:val="clear" w:color="auto" w:fill="FFFFFF"/>
        </w:rPr>
        <w:t>106</w:t>
      </w:r>
      <w:r w:rsidRPr="00797F53">
        <w:rPr>
          <w:rFonts w:ascii="Candara" w:hAnsi="Candara" w:cs="Arial"/>
          <w:sz w:val="20"/>
          <w:szCs w:val="20"/>
          <w:shd w:val="clear" w:color="auto" w:fill="FFFFFF"/>
        </w:rPr>
        <w:t>(21), 8719-8724. </w:t>
      </w:r>
      <w:hyperlink r:id="rId12" w:history="1">
        <w:r w:rsidRPr="000A5A4A">
          <w:rPr>
            <w:rStyle w:val="Hyperlink"/>
            <w:rFonts w:ascii="Candara" w:hAnsi="Candara" w:cs="Arial"/>
            <w:sz w:val="20"/>
            <w:szCs w:val="20"/>
            <w:shd w:val="clear" w:color="auto" w:fill="FFFFFF"/>
          </w:rPr>
          <w:t>https://doi.org/10.1073/pnas.0900234106</w:t>
        </w:r>
      </w:hyperlink>
    </w:p>
    <w:p w14:paraId="3A34E4FB" w14:textId="206E3C03" w:rsidR="00542B83" w:rsidRDefault="00AC2FC2" w:rsidP="00A85E8D">
      <w:pPr>
        <w:rPr>
          <w:rFonts w:ascii="Candara" w:hAnsi="Candara" w:cs="Arial"/>
          <w:sz w:val="20"/>
          <w:szCs w:val="20"/>
        </w:rPr>
      </w:pPr>
      <w:r w:rsidRPr="00AC2FC2">
        <w:rPr>
          <w:rFonts w:ascii="Candara" w:hAnsi="Candara" w:cs="Arial"/>
          <w:sz w:val="20"/>
          <w:szCs w:val="20"/>
          <w:highlight w:val="yellow"/>
        </w:rPr>
        <w:t>Carter Review (2015)</w:t>
      </w:r>
    </w:p>
    <w:p w14:paraId="3C8B54D3" w14:textId="117E1008" w:rsidR="00707753" w:rsidRDefault="00707753" w:rsidP="00A85E8D">
      <w:pPr>
        <w:rPr>
          <w:rFonts w:ascii="Candara" w:hAnsi="Candara" w:cs="Arial"/>
          <w:sz w:val="20"/>
          <w:szCs w:val="20"/>
        </w:rPr>
      </w:pPr>
      <w:proofErr w:type="spellStart"/>
      <w:r>
        <w:rPr>
          <w:rFonts w:ascii="Candara" w:hAnsi="Candara" w:cs="Arial"/>
          <w:sz w:val="20"/>
          <w:szCs w:val="20"/>
        </w:rPr>
        <w:t>Cillingford</w:t>
      </w:r>
      <w:proofErr w:type="spellEnd"/>
      <w:r>
        <w:rPr>
          <w:rFonts w:ascii="Candara" w:hAnsi="Candara" w:cs="Arial"/>
          <w:sz w:val="20"/>
          <w:szCs w:val="20"/>
        </w:rPr>
        <w:t xml:space="preserve">, </w:t>
      </w:r>
      <w:r w:rsidR="005910A8">
        <w:rPr>
          <w:rFonts w:ascii="Candara" w:hAnsi="Candara" w:cs="Arial"/>
          <w:sz w:val="20"/>
          <w:szCs w:val="20"/>
        </w:rPr>
        <w:t>C (2010) The art of teaching: Experiences of schools. Abingdon: Routledge.</w:t>
      </w:r>
    </w:p>
    <w:p w14:paraId="3F016895" w14:textId="03F63A1A" w:rsidR="00944B75" w:rsidRDefault="00944B75" w:rsidP="00A85E8D">
      <w:pPr>
        <w:rPr>
          <w:rFonts w:ascii="Candara" w:hAnsi="Candara" w:cs="Arial"/>
          <w:sz w:val="20"/>
          <w:szCs w:val="20"/>
        </w:rPr>
      </w:pPr>
      <w:r>
        <w:rPr>
          <w:rFonts w:ascii="Candara" w:hAnsi="Candara" w:cs="Arial"/>
          <w:sz w:val="20"/>
          <w:szCs w:val="20"/>
        </w:rPr>
        <w:t>Eisner (1983)</w:t>
      </w:r>
    </w:p>
    <w:p w14:paraId="72D93A2F" w14:textId="77777777" w:rsidR="004869E2" w:rsidRPr="00A85E8D" w:rsidRDefault="004869E2" w:rsidP="004869E2">
      <w:pPr>
        <w:rPr>
          <w:rFonts w:ascii="Candara" w:hAnsi="Candara" w:cs="Arial"/>
          <w:sz w:val="20"/>
          <w:szCs w:val="20"/>
        </w:rPr>
      </w:pPr>
      <w:proofErr w:type="spellStart"/>
      <w:r w:rsidRPr="00B95774">
        <w:rPr>
          <w:rFonts w:ascii="Candara" w:hAnsi="Candara" w:cs="Arial"/>
          <w:sz w:val="20"/>
          <w:szCs w:val="20"/>
          <w:highlight w:val="yellow"/>
        </w:rPr>
        <w:lastRenderedPageBreak/>
        <w:t>Floden</w:t>
      </w:r>
      <w:proofErr w:type="spellEnd"/>
      <w:r w:rsidRPr="00B95774">
        <w:rPr>
          <w:rFonts w:ascii="Candara" w:hAnsi="Candara" w:cs="Arial"/>
          <w:sz w:val="20"/>
          <w:szCs w:val="20"/>
          <w:highlight w:val="yellow"/>
        </w:rPr>
        <w:t xml:space="preserve"> (1989)</w:t>
      </w:r>
    </w:p>
    <w:p w14:paraId="129A2153" w14:textId="77777777" w:rsidR="004869E2" w:rsidRDefault="004869E2" w:rsidP="004869E2">
      <w:pPr>
        <w:autoSpaceDE w:val="0"/>
        <w:autoSpaceDN w:val="0"/>
        <w:adjustRightInd w:val="0"/>
        <w:spacing w:after="240" w:line="240" w:lineRule="auto"/>
        <w:rPr>
          <w:rFonts w:ascii="Candara" w:hAnsi="Candara" w:cs="Arial"/>
          <w:sz w:val="20"/>
          <w:szCs w:val="20"/>
        </w:rPr>
      </w:pPr>
      <w:proofErr w:type="spellStart"/>
      <w:r w:rsidRPr="00A85E8D">
        <w:rPr>
          <w:rFonts w:ascii="Candara" w:hAnsi="Candara" w:cs="Arial"/>
          <w:sz w:val="20"/>
          <w:szCs w:val="20"/>
        </w:rPr>
        <w:t>Floden</w:t>
      </w:r>
      <w:proofErr w:type="spellEnd"/>
      <w:r w:rsidRPr="00A85E8D">
        <w:rPr>
          <w:rFonts w:ascii="Candara" w:hAnsi="Candara" w:cs="Arial"/>
          <w:sz w:val="20"/>
          <w:szCs w:val="20"/>
        </w:rPr>
        <w:t xml:space="preserve">, R.E. and </w:t>
      </w:r>
      <w:proofErr w:type="spellStart"/>
      <w:r w:rsidRPr="00A85E8D">
        <w:rPr>
          <w:rFonts w:ascii="Candara" w:hAnsi="Candara" w:cs="Arial"/>
          <w:sz w:val="20"/>
          <w:szCs w:val="20"/>
        </w:rPr>
        <w:t>Klinzing</w:t>
      </w:r>
      <w:proofErr w:type="spellEnd"/>
      <w:r w:rsidRPr="00A85E8D">
        <w:rPr>
          <w:rFonts w:ascii="Candara" w:hAnsi="Candara" w:cs="Arial"/>
          <w:sz w:val="20"/>
          <w:szCs w:val="20"/>
        </w:rPr>
        <w:t>, H.G., (1990). What can Research on teacher Thinking Contribute to Teacher Preparation? A second opinion. in Educational Researcher 19(5)</w:t>
      </w:r>
    </w:p>
    <w:p w14:paraId="6C6ED356" w14:textId="523DD37C" w:rsidR="00D409E9" w:rsidRDefault="008C2AE4" w:rsidP="00A85E8D">
      <w:pPr>
        <w:rPr>
          <w:rFonts w:ascii="Candara" w:hAnsi="Candara" w:cs="Arial"/>
          <w:sz w:val="20"/>
          <w:szCs w:val="20"/>
        </w:rPr>
      </w:pPr>
      <w:r w:rsidRPr="008C2AE4">
        <w:rPr>
          <w:rFonts w:ascii="Candara" w:hAnsi="Candara" w:cs="Arial"/>
          <w:sz w:val="20"/>
          <w:szCs w:val="20"/>
        </w:rPr>
        <w:t>Gatlin L.</w:t>
      </w:r>
      <w:r w:rsidR="005C32E6">
        <w:rPr>
          <w:rFonts w:ascii="Candara" w:hAnsi="Candara" w:cs="Arial"/>
          <w:sz w:val="20"/>
          <w:szCs w:val="20"/>
        </w:rPr>
        <w:t xml:space="preserve"> (2012)</w:t>
      </w:r>
      <w:r w:rsidRPr="008C2AE4">
        <w:rPr>
          <w:rFonts w:ascii="Candara" w:hAnsi="Candara" w:cs="Arial"/>
          <w:sz w:val="20"/>
          <w:szCs w:val="20"/>
        </w:rPr>
        <w:t> </w:t>
      </w:r>
      <w:r w:rsidRPr="008C2AE4">
        <w:rPr>
          <w:rFonts w:ascii="Candara" w:hAnsi="Candara" w:cs="Arial"/>
          <w:i/>
          <w:iCs/>
          <w:sz w:val="20"/>
          <w:szCs w:val="20"/>
        </w:rPr>
        <w:t>A living thing: Towards a theory of sketchbooks as research. </w:t>
      </w:r>
      <w:r w:rsidRPr="008C2AE4">
        <w:rPr>
          <w:rFonts w:ascii="Candara" w:hAnsi="Candara" w:cs="Arial"/>
          <w:sz w:val="20"/>
          <w:szCs w:val="20"/>
        </w:rPr>
        <w:t>[Order No. 3550812]. Indiana University; 2012.</w:t>
      </w:r>
    </w:p>
    <w:p w14:paraId="3565D169" w14:textId="7717BA5D" w:rsidR="002B0F61" w:rsidRDefault="002B0F61" w:rsidP="00A85E8D">
      <w:pPr>
        <w:rPr>
          <w:rFonts w:ascii="Candara" w:hAnsi="Candara" w:cs="Arial"/>
          <w:sz w:val="20"/>
          <w:szCs w:val="20"/>
        </w:rPr>
      </w:pPr>
      <w:r>
        <w:rPr>
          <w:rFonts w:ascii="Candara" w:hAnsi="Candara" w:cs="Arial"/>
          <w:sz w:val="20"/>
          <w:szCs w:val="20"/>
        </w:rPr>
        <w:t>Glass</w:t>
      </w:r>
      <w:r w:rsidR="00036A4F">
        <w:rPr>
          <w:rFonts w:ascii="Candara" w:hAnsi="Candara" w:cs="Arial"/>
          <w:sz w:val="20"/>
          <w:szCs w:val="20"/>
        </w:rPr>
        <w:t xml:space="preserve">, C. (2011) </w:t>
      </w:r>
    </w:p>
    <w:p w14:paraId="377C2D07" w14:textId="659F577E" w:rsidR="006119F0" w:rsidRDefault="0054380E" w:rsidP="00A85E8D">
      <w:pPr>
        <w:rPr>
          <w:rFonts w:ascii="Candara" w:hAnsi="Candara" w:cs="Arial"/>
          <w:sz w:val="20"/>
          <w:szCs w:val="20"/>
        </w:rPr>
      </w:pPr>
      <w:proofErr w:type="spellStart"/>
      <w:r w:rsidRPr="0054380E">
        <w:rPr>
          <w:rFonts w:ascii="Candara" w:hAnsi="Candara" w:cs="Arial"/>
          <w:sz w:val="20"/>
          <w:szCs w:val="20"/>
        </w:rPr>
        <w:t>Gouzouasis</w:t>
      </w:r>
      <w:proofErr w:type="spellEnd"/>
      <w:r w:rsidRPr="0054380E">
        <w:rPr>
          <w:rFonts w:ascii="Candara" w:hAnsi="Candara" w:cs="Arial"/>
          <w:sz w:val="20"/>
          <w:szCs w:val="20"/>
        </w:rPr>
        <w:t>, P., Irwin, R., Miles, E. &amp; Gordon, A. (2013). ‘Commitments to a community of artistic inquiry: becoming pedagogical through a/r/</w:t>
      </w:r>
      <w:proofErr w:type="spellStart"/>
      <w:r w:rsidRPr="0054380E">
        <w:rPr>
          <w:rFonts w:ascii="Candara" w:hAnsi="Candara" w:cs="Arial"/>
          <w:sz w:val="20"/>
          <w:szCs w:val="20"/>
        </w:rPr>
        <w:t>tography</w:t>
      </w:r>
      <w:proofErr w:type="spellEnd"/>
      <w:r w:rsidRPr="0054380E">
        <w:rPr>
          <w:rFonts w:ascii="Candara" w:hAnsi="Candara" w:cs="Arial"/>
          <w:sz w:val="20"/>
          <w:szCs w:val="20"/>
        </w:rPr>
        <w:t xml:space="preserve"> in teacher education’. International Journal of Education &amp; the Arts, 14(1).</w:t>
      </w:r>
      <w:r>
        <w:rPr>
          <w:rFonts w:ascii="Candara" w:hAnsi="Candara" w:cs="Arial"/>
          <w:sz w:val="20"/>
          <w:szCs w:val="20"/>
        </w:rPr>
        <w:t xml:space="preserve"> </w:t>
      </w:r>
    </w:p>
    <w:p w14:paraId="6C0E8F0C" w14:textId="17994356" w:rsidR="00B7296E" w:rsidRDefault="00B7296E" w:rsidP="00A85E8D">
      <w:pPr>
        <w:rPr>
          <w:rFonts w:ascii="Candara" w:hAnsi="Candara" w:cs="Arial"/>
          <w:sz w:val="20"/>
          <w:szCs w:val="20"/>
        </w:rPr>
      </w:pPr>
      <w:proofErr w:type="spellStart"/>
      <w:r>
        <w:rPr>
          <w:rFonts w:ascii="Candara" w:hAnsi="Candara" w:cs="Arial"/>
          <w:sz w:val="20"/>
          <w:szCs w:val="20"/>
        </w:rPr>
        <w:t>Gompertz</w:t>
      </w:r>
      <w:proofErr w:type="spellEnd"/>
      <w:r w:rsidR="00E92FE2">
        <w:rPr>
          <w:rFonts w:ascii="Candara" w:hAnsi="Candara" w:cs="Arial"/>
          <w:sz w:val="20"/>
          <w:szCs w:val="20"/>
        </w:rPr>
        <w:t>, W. (2015) Think like an artist</w:t>
      </w:r>
      <w:r w:rsidR="0081606C">
        <w:rPr>
          <w:rFonts w:ascii="Candara" w:hAnsi="Candara" w:cs="Arial"/>
          <w:sz w:val="20"/>
          <w:szCs w:val="20"/>
        </w:rPr>
        <w:t>…and lead a more creative, productive life.</w:t>
      </w:r>
      <w:r w:rsidR="00D56464">
        <w:rPr>
          <w:rFonts w:ascii="Candara" w:hAnsi="Candara" w:cs="Arial"/>
          <w:sz w:val="20"/>
          <w:szCs w:val="20"/>
        </w:rPr>
        <w:t xml:space="preserve"> Penguin Books Ltd.</w:t>
      </w:r>
    </w:p>
    <w:p w14:paraId="74BF7F11" w14:textId="45C320C2" w:rsidR="000173C6" w:rsidRDefault="000173C6" w:rsidP="00A85E8D">
      <w:pPr>
        <w:rPr>
          <w:rFonts w:ascii="Candara" w:hAnsi="Candara" w:cs="Arial"/>
          <w:sz w:val="20"/>
          <w:szCs w:val="20"/>
        </w:rPr>
      </w:pPr>
      <w:r w:rsidRPr="000173C6">
        <w:rPr>
          <w:rFonts w:ascii="Candara" w:hAnsi="Candara" w:cs="Arial"/>
          <w:sz w:val="20"/>
          <w:szCs w:val="20"/>
        </w:rPr>
        <w:t>Greene, M. (1977). Toward Wide-</w:t>
      </w:r>
      <w:proofErr w:type="spellStart"/>
      <w:r w:rsidRPr="000173C6">
        <w:rPr>
          <w:rFonts w:ascii="Candara" w:hAnsi="Candara" w:cs="Arial"/>
          <w:sz w:val="20"/>
          <w:szCs w:val="20"/>
        </w:rPr>
        <w:t>Awakeness</w:t>
      </w:r>
      <w:proofErr w:type="spellEnd"/>
      <w:r w:rsidRPr="000173C6">
        <w:rPr>
          <w:rFonts w:ascii="Candara" w:hAnsi="Candara" w:cs="Arial"/>
          <w:sz w:val="20"/>
          <w:szCs w:val="20"/>
        </w:rPr>
        <w:t>: An Argument for the Arts and Humanities in Education. </w:t>
      </w:r>
      <w:r w:rsidRPr="000173C6">
        <w:rPr>
          <w:rFonts w:ascii="Candara" w:hAnsi="Candara" w:cs="Arial"/>
          <w:i/>
          <w:iCs/>
          <w:sz w:val="20"/>
          <w:szCs w:val="20"/>
        </w:rPr>
        <w:t>Teachers College Record</w:t>
      </w:r>
      <w:r w:rsidRPr="000173C6">
        <w:rPr>
          <w:rFonts w:ascii="Candara" w:hAnsi="Candara" w:cs="Arial"/>
          <w:sz w:val="20"/>
          <w:szCs w:val="20"/>
        </w:rPr>
        <w:t>, </w:t>
      </w:r>
      <w:r w:rsidRPr="000173C6">
        <w:rPr>
          <w:rFonts w:ascii="Candara" w:hAnsi="Candara" w:cs="Arial"/>
          <w:i/>
          <w:iCs/>
          <w:sz w:val="20"/>
          <w:szCs w:val="20"/>
        </w:rPr>
        <w:t>79</w:t>
      </w:r>
      <w:r w:rsidRPr="000173C6">
        <w:rPr>
          <w:rFonts w:ascii="Candara" w:hAnsi="Candara" w:cs="Arial"/>
          <w:sz w:val="20"/>
          <w:szCs w:val="20"/>
        </w:rPr>
        <w:t>(1), 119–125. </w:t>
      </w:r>
      <w:hyperlink r:id="rId13" w:history="1">
        <w:r w:rsidRPr="000173C6">
          <w:rPr>
            <w:rStyle w:val="Hyperlink"/>
            <w:rFonts w:ascii="Candara" w:hAnsi="Candara" w:cs="Arial"/>
            <w:sz w:val="20"/>
            <w:szCs w:val="20"/>
          </w:rPr>
          <w:t>https://doi.org/10.1177/016146817707900105</w:t>
        </w:r>
      </w:hyperlink>
    </w:p>
    <w:p w14:paraId="12E257AA" w14:textId="429BC66C" w:rsidR="00073AED" w:rsidRDefault="00B61564" w:rsidP="00A85E8D">
      <w:pPr>
        <w:rPr>
          <w:rFonts w:ascii="Candara" w:hAnsi="Candara" w:cs="Arial"/>
          <w:sz w:val="20"/>
          <w:szCs w:val="20"/>
        </w:rPr>
      </w:pPr>
      <w:r w:rsidRPr="00B61564">
        <w:rPr>
          <w:rFonts w:ascii="Candara" w:hAnsi="Candara" w:cs="Arial"/>
          <w:sz w:val="20"/>
          <w:szCs w:val="20"/>
        </w:rPr>
        <w:t>Greene, M. (1995). Releasing the imagination: Essays on education, the arts, and social change. San Francisco: Jossey-Bass Publishers.</w:t>
      </w:r>
    </w:p>
    <w:p w14:paraId="0784D23A" w14:textId="433C20B4" w:rsidR="006F5DC6" w:rsidRDefault="006F5DC6" w:rsidP="00A85E8D">
      <w:pPr>
        <w:rPr>
          <w:rFonts w:ascii="Candara" w:hAnsi="Candara" w:cs="Arial"/>
          <w:sz w:val="20"/>
          <w:szCs w:val="20"/>
        </w:rPr>
      </w:pPr>
      <w:r w:rsidRPr="006F5DC6">
        <w:rPr>
          <w:rFonts w:ascii="Candara" w:hAnsi="Candara" w:cs="Arial"/>
          <w:sz w:val="20"/>
          <w:szCs w:val="20"/>
        </w:rPr>
        <w:t xml:space="preserve">Greene, M. (2007). Imagination and the healing arts. </w:t>
      </w:r>
      <w:hyperlink r:id="rId14" w:history="1">
        <w:r w:rsidRPr="00F43224">
          <w:rPr>
            <w:rStyle w:val="Hyperlink"/>
            <w:rFonts w:ascii="Candara" w:hAnsi="Candara" w:cs="Arial"/>
            <w:sz w:val="20"/>
            <w:szCs w:val="20"/>
          </w:rPr>
          <w:t>http://www.maxinegreene.org/articles.php</w:t>
        </w:r>
      </w:hyperlink>
      <w:r>
        <w:rPr>
          <w:rFonts w:ascii="Candara" w:hAnsi="Candara" w:cs="Arial"/>
          <w:sz w:val="20"/>
          <w:szCs w:val="20"/>
        </w:rPr>
        <w:t xml:space="preserve"> (Accessed </w:t>
      </w:r>
      <w:r w:rsidR="00684379">
        <w:rPr>
          <w:rFonts w:ascii="Candara" w:hAnsi="Candara" w:cs="Arial"/>
          <w:sz w:val="20"/>
          <w:szCs w:val="20"/>
        </w:rPr>
        <w:t>06.04.23)</w:t>
      </w:r>
    </w:p>
    <w:p w14:paraId="603FA4D5" w14:textId="62120521" w:rsidR="00056E4D" w:rsidRDefault="00056E4D" w:rsidP="00A85E8D">
      <w:pPr>
        <w:rPr>
          <w:rFonts w:ascii="Candara" w:hAnsi="Candara" w:cs="Arial"/>
          <w:sz w:val="20"/>
          <w:szCs w:val="20"/>
        </w:rPr>
      </w:pPr>
      <w:r>
        <w:rPr>
          <w:rFonts w:ascii="Candara" w:hAnsi="Candara" w:cs="Arial"/>
          <w:sz w:val="20"/>
          <w:szCs w:val="20"/>
        </w:rPr>
        <w:t>Green</w:t>
      </w:r>
      <w:r w:rsidR="005349C4">
        <w:rPr>
          <w:rFonts w:ascii="Candara" w:hAnsi="Candara" w:cs="Arial"/>
          <w:sz w:val="20"/>
          <w:szCs w:val="20"/>
        </w:rPr>
        <w:t>e,</w:t>
      </w:r>
      <w:r>
        <w:rPr>
          <w:rFonts w:ascii="Candara" w:hAnsi="Candara" w:cs="Arial"/>
          <w:sz w:val="20"/>
          <w:szCs w:val="20"/>
        </w:rPr>
        <w:t xml:space="preserve"> M (2017) </w:t>
      </w:r>
      <w:r w:rsidR="00DC224A">
        <w:rPr>
          <w:rFonts w:ascii="Candara" w:hAnsi="Candara" w:cs="Arial"/>
          <w:sz w:val="20"/>
          <w:szCs w:val="20"/>
        </w:rPr>
        <w:t>Wide-</w:t>
      </w:r>
      <w:proofErr w:type="spellStart"/>
      <w:r w:rsidR="00DC224A">
        <w:rPr>
          <w:rFonts w:ascii="Candara" w:hAnsi="Candara" w:cs="Arial"/>
          <w:sz w:val="20"/>
          <w:szCs w:val="20"/>
        </w:rPr>
        <w:t>awakeness</w:t>
      </w:r>
      <w:proofErr w:type="spellEnd"/>
      <w:r w:rsidR="00DC224A">
        <w:rPr>
          <w:rFonts w:ascii="Candara" w:hAnsi="Candara" w:cs="Arial"/>
          <w:sz w:val="20"/>
          <w:szCs w:val="20"/>
        </w:rPr>
        <w:t xml:space="preserve"> and the Moral Life. In </w:t>
      </w:r>
      <w:proofErr w:type="spellStart"/>
      <w:r w:rsidR="0089792B">
        <w:rPr>
          <w:rFonts w:ascii="Candara" w:hAnsi="Candara" w:cs="Arial"/>
          <w:sz w:val="20"/>
          <w:szCs w:val="20"/>
        </w:rPr>
        <w:t>Sadovnik</w:t>
      </w:r>
      <w:proofErr w:type="spellEnd"/>
      <w:r w:rsidR="0089792B">
        <w:rPr>
          <w:rFonts w:ascii="Candara" w:hAnsi="Candara" w:cs="Arial"/>
          <w:sz w:val="20"/>
          <w:szCs w:val="20"/>
        </w:rPr>
        <w:t>, A., Cookson</w:t>
      </w:r>
      <w:r w:rsidR="00D46B61">
        <w:rPr>
          <w:rFonts w:ascii="Candara" w:hAnsi="Candara" w:cs="Arial"/>
          <w:sz w:val="20"/>
          <w:szCs w:val="20"/>
        </w:rPr>
        <w:t xml:space="preserve">, P, </w:t>
      </w:r>
      <w:proofErr w:type="spellStart"/>
      <w:r w:rsidR="00D46B61">
        <w:rPr>
          <w:rFonts w:ascii="Candara" w:hAnsi="Candara" w:cs="Arial"/>
          <w:sz w:val="20"/>
          <w:szCs w:val="20"/>
        </w:rPr>
        <w:t>Semel</w:t>
      </w:r>
      <w:proofErr w:type="spellEnd"/>
      <w:r w:rsidR="00D46B61">
        <w:rPr>
          <w:rFonts w:ascii="Candara" w:hAnsi="Candara" w:cs="Arial"/>
          <w:sz w:val="20"/>
          <w:szCs w:val="20"/>
        </w:rPr>
        <w:t xml:space="preserve">, S., Coughlan, R (eds) </w:t>
      </w:r>
      <w:r w:rsidR="00DC224A">
        <w:rPr>
          <w:rFonts w:ascii="Candara" w:hAnsi="Candara" w:cs="Arial"/>
          <w:sz w:val="20"/>
          <w:szCs w:val="20"/>
        </w:rPr>
        <w:t xml:space="preserve">Exploring Education: An </w:t>
      </w:r>
      <w:r w:rsidR="00D46B61">
        <w:rPr>
          <w:rFonts w:ascii="Candara" w:hAnsi="Candara" w:cs="Arial"/>
          <w:sz w:val="20"/>
          <w:szCs w:val="20"/>
        </w:rPr>
        <w:t>I</w:t>
      </w:r>
      <w:r w:rsidR="00DC224A">
        <w:rPr>
          <w:rFonts w:ascii="Candara" w:hAnsi="Candara" w:cs="Arial"/>
          <w:sz w:val="20"/>
          <w:szCs w:val="20"/>
        </w:rPr>
        <w:t xml:space="preserve">ntroduction to the </w:t>
      </w:r>
      <w:r w:rsidR="00D46B61">
        <w:rPr>
          <w:rFonts w:ascii="Candara" w:hAnsi="Candara" w:cs="Arial"/>
          <w:sz w:val="20"/>
          <w:szCs w:val="20"/>
        </w:rPr>
        <w:t>F</w:t>
      </w:r>
      <w:r w:rsidR="00DC224A">
        <w:rPr>
          <w:rFonts w:ascii="Candara" w:hAnsi="Candara" w:cs="Arial"/>
          <w:sz w:val="20"/>
          <w:szCs w:val="20"/>
        </w:rPr>
        <w:t>oundations of Education</w:t>
      </w:r>
      <w:r w:rsidR="0089792B">
        <w:rPr>
          <w:rFonts w:ascii="Candara" w:hAnsi="Candara" w:cs="Arial"/>
          <w:sz w:val="20"/>
          <w:szCs w:val="20"/>
        </w:rPr>
        <w:t xml:space="preserve">, </w:t>
      </w:r>
      <w:r w:rsidR="00B67D29">
        <w:rPr>
          <w:rFonts w:ascii="Candara" w:hAnsi="Candara" w:cs="Arial"/>
          <w:sz w:val="20"/>
          <w:szCs w:val="20"/>
        </w:rPr>
        <w:t>Routledge, New York.</w:t>
      </w:r>
    </w:p>
    <w:p w14:paraId="4821CBA9" w14:textId="77777777" w:rsidR="004869E2" w:rsidRDefault="004869E2" w:rsidP="004869E2">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Gage, N. L. (1985). Hard gains in the soft sciences: The case of pedagogy. Bloomington, IN: Phi Delta Kappa.</w:t>
      </w:r>
    </w:p>
    <w:p w14:paraId="538EF380" w14:textId="77777777" w:rsidR="004869E2" w:rsidRDefault="004869E2" w:rsidP="004869E2">
      <w:pPr>
        <w:autoSpaceDE w:val="0"/>
        <w:autoSpaceDN w:val="0"/>
        <w:adjustRightInd w:val="0"/>
        <w:spacing w:after="240" w:line="240" w:lineRule="auto"/>
        <w:rPr>
          <w:rFonts w:ascii="Candara" w:hAnsi="Candara" w:cs="Arial"/>
          <w:sz w:val="20"/>
          <w:szCs w:val="20"/>
        </w:rPr>
      </w:pPr>
      <w:r>
        <w:rPr>
          <w:rFonts w:ascii="Candara" w:hAnsi="Candara" w:cs="Arial"/>
          <w:sz w:val="20"/>
          <w:szCs w:val="20"/>
        </w:rPr>
        <w:t>Gatlin (2012)</w:t>
      </w:r>
    </w:p>
    <w:p w14:paraId="442C75C3" w14:textId="52CF412D" w:rsidR="001806F6" w:rsidRDefault="001806F6" w:rsidP="004869E2">
      <w:pPr>
        <w:autoSpaceDE w:val="0"/>
        <w:autoSpaceDN w:val="0"/>
        <w:adjustRightInd w:val="0"/>
        <w:spacing w:after="240" w:line="240" w:lineRule="auto"/>
        <w:rPr>
          <w:rFonts w:ascii="Candara" w:hAnsi="Candara" w:cs="Arial"/>
          <w:sz w:val="20"/>
          <w:szCs w:val="20"/>
        </w:rPr>
      </w:pPr>
      <w:r>
        <w:rPr>
          <w:rFonts w:ascii="Candara" w:hAnsi="Candara" w:cs="Arial"/>
          <w:sz w:val="20"/>
          <w:szCs w:val="20"/>
        </w:rPr>
        <w:t>Hargreaves</w:t>
      </w:r>
      <w:r w:rsidR="00051480">
        <w:rPr>
          <w:rFonts w:ascii="Candara" w:hAnsi="Candara" w:cs="Arial"/>
          <w:sz w:val="20"/>
          <w:szCs w:val="20"/>
        </w:rPr>
        <w:t>, A (1994) Changing teachers, changing times: teachers’ work and culture in the post-modern age</w:t>
      </w:r>
      <w:r w:rsidR="002A6E62">
        <w:rPr>
          <w:rFonts w:ascii="Candara" w:hAnsi="Candara" w:cs="Arial"/>
          <w:sz w:val="20"/>
          <w:szCs w:val="20"/>
        </w:rPr>
        <w:t>. London: Cassell.</w:t>
      </w:r>
    </w:p>
    <w:p w14:paraId="63E90BE5" w14:textId="6765EC7F" w:rsidR="001C7C9E" w:rsidRDefault="001C7C9E" w:rsidP="004869E2">
      <w:pPr>
        <w:autoSpaceDE w:val="0"/>
        <w:autoSpaceDN w:val="0"/>
        <w:adjustRightInd w:val="0"/>
        <w:spacing w:after="240" w:line="240" w:lineRule="auto"/>
        <w:rPr>
          <w:rFonts w:ascii="Candara" w:hAnsi="Candara" w:cs="Arial"/>
          <w:sz w:val="20"/>
          <w:szCs w:val="20"/>
        </w:rPr>
      </w:pPr>
      <w:proofErr w:type="spellStart"/>
      <w:r w:rsidRPr="001C7C9E">
        <w:rPr>
          <w:rFonts w:ascii="Candara" w:hAnsi="Candara" w:cs="Arial"/>
          <w:sz w:val="20"/>
          <w:szCs w:val="20"/>
        </w:rPr>
        <w:t>Harwayne</w:t>
      </w:r>
      <w:proofErr w:type="spellEnd"/>
      <w:r w:rsidRPr="001C7C9E">
        <w:rPr>
          <w:rFonts w:ascii="Candara" w:hAnsi="Candara" w:cs="Arial"/>
          <w:sz w:val="20"/>
          <w:szCs w:val="20"/>
        </w:rPr>
        <w:t>, S. (2000). Lifetime guarantees. Portsmouth, NH: Heinemann.</w:t>
      </w:r>
    </w:p>
    <w:p w14:paraId="29440916" w14:textId="77777777" w:rsidR="00DB6A11" w:rsidRDefault="00DB6A11" w:rsidP="00D46E7C">
      <w:pPr>
        <w:autoSpaceDE w:val="0"/>
        <w:autoSpaceDN w:val="0"/>
        <w:adjustRightInd w:val="0"/>
        <w:spacing w:after="240" w:line="240" w:lineRule="auto"/>
        <w:rPr>
          <w:rFonts w:ascii="Candara" w:hAnsi="Candara" w:cs="Arial"/>
          <w:sz w:val="20"/>
          <w:szCs w:val="20"/>
        </w:rPr>
      </w:pPr>
      <w:r w:rsidRPr="00DB6A11">
        <w:rPr>
          <w:rFonts w:ascii="Candara" w:hAnsi="Candara" w:cs="Arial"/>
          <w:sz w:val="20"/>
          <w:szCs w:val="20"/>
        </w:rPr>
        <w:t>Hooks, B. (1994). Teaching to Transgress: Education as the Practice of Freedom. New York, NY: Routledge.</w:t>
      </w:r>
    </w:p>
    <w:p w14:paraId="4EB03037" w14:textId="743B7D55" w:rsidR="00FB0964" w:rsidRDefault="00FB0964" w:rsidP="00D46E7C">
      <w:pPr>
        <w:autoSpaceDE w:val="0"/>
        <w:autoSpaceDN w:val="0"/>
        <w:adjustRightInd w:val="0"/>
        <w:spacing w:after="240" w:line="240" w:lineRule="auto"/>
        <w:rPr>
          <w:rStyle w:val="Hyperlink"/>
          <w:rFonts w:ascii="Candara" w:hAnsi="Candara" w:cs="Arial"/>
          <w:sz w:val="20"/>
          <w:szCs w:val="20"/>
        </w:rPr>
      </w:pPr>
      <w:r w:rsidRPr="00FB0964">
        <w:rPr>
          <w:rFonts w:ascii="Candara" w:hAnsi="Candara" w:cs="Arial"/>
          <w:sz w:val="20"/>
          <w:szCs w:val="20"/>
        </w:rPr>
        <w:t>Hordern</w:t>
      </w:r>
      <w:r>
        <w:rPr>
          <w:rFonts w:ascii="Candara" w:hAnsi="Candara" w:cs="Arial"/>
          <w:sz w:val="20"/>
          <w:szCs w:val="20"/>
        </w:rPr>
        <w:t>, J.</w:t>
      </w:r>
      <w:r w:rsidRPr="00FB0964">
        <w:rPr>
          <w:rFonts w:ascii="Candara" w:hAnsi="Candara" w:cs="Arial"/>
          <w:sz w:val="20"/>
          <w:szCs w:val="20"/>
        </w:rPr>
        <w:t xml:space="preserve"> </w:t>
      </w:r>
      <w:r w:rsidR="007124AA">
        <w:rPr>
          <w:rFonts w:ascii="Candara" w:hAnsi="Candara" w:cs="Arial"/>
          <w:sz w:val="20"/>
          <w:szCs w:val="20"/>
        </w:rPr>
        <w:t xml:space="preserve">and </w:t>
      </w:r>
      <w:r w:rsidRPr="00FB0964">
        <w:rPr>
          <w:rFonts w:ascii="Candara" w:hAnsi="Candara" w:cs="Arial"/>
          <w:sz w:val="20"/>
          <w:szCs w:val="20"/>
        </w:rPr>
        <w:t>Brooks</w:t>
      </w:r>
      <w:r w:rsidR="007124AA">
        <w:rPr>
          <w:rFonts w:ascii="Candara" w:hAnsi="Candara" w:cs="Arial"/>
          <w:sz w:val="20"/>
          <w:szCs w:val="20"/>
        </w:rPr>
        <w:t>, C.</w:t>
      </w:r>
      <w:r w:rsidRPr="00FB0964">
        <w:rPr>
          <w:rFonts w:ascii="Candara" w:hAnsi="Candara" w:cs="Arial"/>
          <w:sz w:val="20"/>
          <w:szCs w:val="20"/>
        </w:rPr>
        <w:t> (2023) The core content framework and the ‘new science’ of educational research, Oxford Review of Education, DOI: </w:t>
      </w:r>
      <w:hyperlink r:id="rId15" w:history="1">
        <w:r w:rsidRPr="00FB0964">
          <w:rPr>
            <w:rStyle w:val="Hyperlink"/>
            <w:rFonts w:ascii="Candara" w:hAnsi="Candara" w:cs="Arial"/>
            <w:sz w:val="20"/>
            <w:szCs w:val="20"/>
          </w:rPr>
          <w:t>10.1080/03054985.2023.2182768</w:t>
        </w:r>
      </w:hyperlink>
    </w:p>
    <w:p w14:paraId="2AC7AFF5" w14:textId="6C01AE2E" w:rsidR="008E7614" w:rsidRDefault="00484BAC" w:rsidP="008E7614">
      <w:pPr>
        <w:autoSpaceDE w:val="0"/>
        <w:autoSpaceDN w:val="0"/>
        <w:adjustRightInd w:val="0"/>
        <w:spacing w:after="240" w:line="240" w:lineRule="auto"/>
        <w:rPr>
          <w:rFonts w:ascii="Candara" w:hAnsi="Candara" w:cs="Arial"/>
          <w:sz w:val="20"/>
          <w:szCs w:val="20"/>
        </w:rPr>
      </w:pPr>
      <w:r w:rsidRPr="00484BAC">
        <w:rPr>
          <w:rFonts w:ascii="Candara" w:hAnsi="Candara" w:cs="Arial"/>
          <w:sz w:val="20"/>
          <w:szCs w:val="20"/>
        </w:rPr>
        <w:t xml:space="preserve">Huang, JL. </w:t>
      </w:r>
      <w:r w:rsidR="00355F41">
        <w:rPr>
          <w:rFonts w:ascii="Candara" w:hAnsi="Candara" w:cs="Arial"/>
          <w:sz w:val="20"/>
          <w:szCs w:val="20"/>
        </w:rPr>
        <w:t xml:space="preserve">(2015) </w:t>
      </w:r>
      <w:r w:rsidRPr="00484BAC">
        <w:rPr>
          <w:rFonts w:ascii="Candara" w:hAnsi="Candara" w:cs="Arial"/>
          <w:sz w:val="20"/>
          <w:szCs w:val="20"/>
        </w:rPr>
        <w:t>Cultivating teacher thinking: ideas and practice. </w:t>
      </w:r>
      <w:r w:rsidRPr="00484BAC">
        <w:rPr>
          <w:rFonts w:ascii="Candara" w:hAnsi="Candara" w:cs="Arial"/>
          <w:i/>
          <w:iCs/>
          <w:sz w:val="20"/>
          <w:szCs w:val="20"/>
        </w:rPr>
        <w:t>Educ</w:t>
      </w:r>
      <w:r>
        <w:rPr>
          <w:rFonts w:ascii="Candara" w:hAnsi="Candara" w:cs="Arial"/>
          <w:i/>
          <w:iCs/>
          <w:sz w:val="20"/>
          <w:szCs w:val="20"/>
        </w:rPr>
        <w:t>ational</w:t>
      </w:r>
      <w:r w:rsidRPr="00484BAC">
        <w:rPr>
          <w:rFonts w:ascii="Candara" w:hAnsi="Candara" w:cs="Arial"/>
          <w:i/>
          <w:iCs/>
          <w:sz w:val="20"/>
          <w:szCs w:val="20"/>
        </w:rPr>
        <w:t xml:space="preserve"> Res</w:t>
      </w:r>
      <w:r>
        <w:rPr>
          <w:rFonts w:ascii="Candara" w:hAnsi="Candara" w:cs="Arial"/>
          <w:i/>
          <w:iCs/>
          <w:sz w:val="20"/>
          <w:szCs w:val="20"/>
        </w:rPr>
        <w:t>earch</w:t>
      </w:r>
      <w:r w:rsidR="00355F41">
        <w:rPr>
          <w:rFonts w:ascii="Candara" w:hAnsi="Candara" w:cs="Arial"/>
          <w:i/>
          <w:iCs/>
          <w:sz w:val="20"/>
          <w:szCs w:val="20"/>
        </w:rPr>
        <w:t xml:space="preserve"> for</w:t>
      </w:r>
      <w:r w:rsidRPr="00484BAC">
        <w:rPr>
          <w:rFonts w:ascii="Candara" w:hAnsi="Candara" w:cs="Arial"/>
          <w:i/>
          <w:iCs/>
          <w:sz w:val="20"/>
          <w:szCs w:val="20"/>
        </w:rPr>
        <w:t xml:space="preserve"> Policy </w:t>
      </w:r>
      <w:r w:rsidR="00355F41">
        <w:rPr>
          <w:rFonts w:ascii="Candara" w:hAnsi="Candara" w:cs="Arial"/>
          <w:i/>
          <w:iCs/>
          <w:sz w:val="20"/>
          <w:szCs w:val="20"/>
        </w:rPr>
        <w:t xml:space="preserve">and </w:t>
      </w:r>
      <w:r w:rsidRPr="00484BAC">
        <w:rPr>
          <w:rFonts w:ascii="Candara" w:hAnsi="Candara" w:cs="Arial"/>
          <w:i/>
          <w:iCs/>
          <w:sz w:val="20"/>
          <w:szCs w:val="20"/>
        </w:rPr>
        <w:t>Prac</w:t>
      </w:r>
      <w:r w:rsidR="00355F41">
        <w:rPr>
          <w:rFonts w:ascii="Candara" w:hAnsi="Candara" w:cs="Arial"/>
          <w:i/>
          <w:iCs/>
          <w:sz w:val="20"/>
          <w:szCs w:val="20"/>
        </w:rPr>
        <w:t>tice</w:t>
      </w:r>
      <w:r w:rsidRPr="00484BAC">
        <w:rPr>
          <w:rFonts w:ascii="Candara" w:hAnsi="Candara" w:cs="Arial"/>
          <w:sz w:val="20"/>
          <w:szCs w:val="20"/>
        </w:rPr>
        <w:t> </w:t>
      </w:r>
      <w:r w:rsidRPr="00484BAC">
        <w:rPr>
          <w:rFonts w:ascii="Candara" w:hAnsi="Candara" w:cs="Arial"/>
          <w:b/>
          <w:bCs/>
          <w:sz w:val="20"/>
          <w:szCs w:val="20"/>
        </w:rPr>
        <w:t>14</w:t>
      </w:r>
      <w:r w:rsidRPr="00484BAC">
        <w:rPr>
          <w:rFonts w:ascii="Candara" w:hAnsi="Candara" w:cs="Arial"/>
          <w:sz w:val="20"/>
          <w:szCs w:val="20"/>
        </w:rPr>
        <w:t xml:space="preserve">, 247–257. </w:t>
      </w:r>
      <w:hyperlink r:id="rId16" w:history="1">
        <w:r w:rsidR="008D3282" w:rsidRPr="00635FF6">
          <w:rPr>
            <w:rStyle w:val="Hyperlink"/>
            <w:rFonts w:ascii="Candara" w:hAnsi="Candara" w:cs="Arial"/>
            <w:sz w:val="20"/>
            <w:szCs w:val="20"/>
          </w:rPr>
          <w:t>https://doi.org/10.1007/s10671-015-9184-1</w:t>
        </w:r>
      </w:hyperlink>
    </w:p>
    <w:p w14:paraId="6E0A0713" w14:textId="6B380B47" w:rsidR="008D3282" w:rsidRPr="008E7614" w:rsidRDefault="008D3282" w:rsidP="008E7614">
      <w:pPr>
        <w:autoSpaceDE w:val="0"/>
        <w:autoSpaceDN w:val="0"/>
        <w:adjustRightInd w:val="0"/>
        <w:spacing w:after="240" w:line="240" w:lineRule="auto"/>
        <w:rPr>
          <w:rFonts w:ascii="Candara" w:hAnsi="Candara" w:cs="Arial"/>
          <w:sz w:val="20"/>
          <w:szCs w:val="20"/>
        </w:rPr>
      </w:pPr>
      <w:r>
        <w:rPr>
          <w:rFonts w:ascii="Candara" w:hAnsi="Candara" w:cs="Arial"/>
          <w:sz w:val="20"/>
          <w:szCs w:val="20"/>
        </w:rPr>
        <w:t>Hsu (2004)</w:t>
      </w:r>
    </w:p>
    <w:p w14:paraId="7C1BE384" w14:textId="77777777" w:rsidR="00A759FF" w:rsidRDefault="00A759FF" w:rsidP="00A759FF">
      <w:pPr>
        <w:rPr>
          <w:rFonts w:ascii="Candara" w:hAnsi="Candara"/>
          <w:sz w:val="20"/>
          <w:szCs w:val="20"/>
        </w:rPr>
      </w:pPr>
      <w:r w:rsidRPr="00A85E8D">
        <w:rPr>
          <w:rFonts w:ascii="Candara" w:hAnsi="Candara"/>
          <w:sz w:val="20"/>
          <w:szCs w:val="20"/>
        </w:rPr>
        <w:t>Jeffrey</w:t>
      </w:r>
      <w:r>
        <w:rPr>
          <w:rFonts w:ascii="Candara" w:hAnsi="Candara"/>
          <w:sz w:val="20"/>
          <w:szCs w:val="20"/>
        </w:rPr>
        <w:t>, B.</w:t>
      </w:r>
      <w:r w:rsidRPr="00A85E8D">
        <w:rPr>
          <w:rFonts w:ascii="Candara" w:hAnsi="Candara"/>
          <w:sz w:val="20"/>
          <w:szCs w:val="20"/>
        </w:rPr>
        <w:t xml:space="preserve"> &amp; Craft</w:t>
      </w:r>
      <w:r>
        <w:rPr>
          <w:rFonts w:ascii="Candara" w:hAnsi="Candara"/>
          <w:sz w:val="20"/>
          <w:szCs w:val="20"/>
        </w:rPr>
        <w:t>, A.</w:t>
      </w:r>
      <w:r w:rsidRPr="00A85E8D">
        <w:rPr>
          <w:rFonts w:ascii="Candara" w:hAnsi="Candara"/>
          <w:sz w:val="20"/>
          <w:szCs w:val="20"/>
        </w:rPr>
        <w:t xml:space="preserve"> (2004) Teaching creatively and teaching for creativity: distinctions and </w:t>
      </w:r>
      <w:proofErr w:type="spellStart"/>
      <w:r w:rsidRPr="00A85E8D">
        <w:rPr>
          <w:rFonts w:ascii="Candara" w:hAnsi="Candara"/>
          <w:sz w:val="20"/>
          <w:szCs w:val="20"/>
        </w:rPr>
        <w:t>relat</w:t>
      </w:r>
      <w:proofErr w:type="spellEnd"/>
      <w:r w:rsidRPr="00A85E8D">
        <w:rPr>
          <w:rFonts w:ascii="Candara" w:hAnsi="Candara"/>
          <w:sz w:val="20"/>
          <w:szCs w:val="20"/>
        </w:rPr>
        <w:t xml:space="preserve"> </w:t>
      </w:r>
    </w:p>
    <w:p w14:paraId="55CF645E" w14:textId="5CD7FC8F" w:rsidR="00F62482" w:rsidRDefault="00D40DC3" w:rsidP="00F62482">
      <w:pPr>
        <w:rPr>
          <w:rFonts w:ascii="Candara" w:hAnsi="Candara"/>
          <w:sz w:val="20"/>
          <w:szCs w:val="20"/>
        </w:rPr>
      </w:pPr>
      <w:r>
        <w:rPr>
          <w:rFonts w:ascii="Candara" w:hAnsi="Candara"/>
          <w:sz w:val="20"/>
          <w:szCs w:val="20"/>
        </w:rPr>
        <w:t>Kleinfeld</w:t>
      </w:r>
      <w:r w:rsidR="00F62482">
        <w:rPr>
          <w:rFonts w:ascii="Candara" w:hAnsi="Candara"/>
          <w:sz w:val="20"/>
          <w:szCs w:val="20"/>
        </w:rPr>
        <w:t>, J.</w:t>
      </w:r>
      <w:r>
        <w:rPr>
          <w:rFonts w:ascii="Candara" w:hAnsi="Candara"/>
          <w:sz w:val="20"/>
          <w:szCs w:val="20"/>
        </w:rPr>
        <w:t xml:space="preserve"> (</w:t>
      </w:r>
      <w:r w:rsidR="003402A9">
        <w:rPr>
          <w:rFonts w:ascii="Candara" w:hAnsi="Candara"/>
          <w:sz w:val="20"/>
          <w:szCs w:val="20"/>
        </w:rPr>
        <w:t>1992)</w:t>
      </w:r>
      <w:r w:rsidR="00F62482">
        <w:rPr>
          <w:rFonts w:ascii="Candara" w:hAnsi="Candara"/>
          <w:sz w:val="20"/>
          <w:szCs w:val="20"/>
        </w:rPr>
        <w:t xml:space="preserve"> </w:t>
      </w:r>
      <w:r w:rsidR="00F62482" w:rsidRPr="00F62482">
        <w:rPr>
          <w:rFonts w:ascii="Candara" w:hAnsi="Candara"/>
          <w:sz w:val="20"/>
          <w:szCs w:val="20"/>
        </w:rPr>
        <w:t>Learning to think like a teacher: The study of cases</w:t>
      </w:r>
      <w:r w:rsidR="00B55F37">
        <w:rPr>
          <w:rFonts w:ascii="Candara" w:hAnsi="Candara"/>
          <w:sz w:val="20"/>
          <w:szCs w:val="20"/>
        </w:rPr>
        <w:t xml:space="preserve">, In </w:t>
      </w:r>
      <w:r w:rsidR="00F62482" w:rsidRPr="00F62482">
        <w:rPr>
          <w:rFonts w:ascii="Candara" w:hAnsi="Candara"/>
          <w:sz w:val="20"/>
          <w:szCs w:val="20"/>
        </w:rPr>
        <w:t>J. Shulman (Ed.), Case method in teacher education, Teachers College Press, New York (1992), pp. 33-49</w:t>
      </w:r>
    </w:p>
    <w:p w14:paraId="2A1B6AFC" w14:textId="38D3B35B" w:rsidR="00D40DC3" w:rsidRDefault="00D3245C" w:rsidP="00A759FF">
      <w:pPr>
        <w:rPr>
          <w:rFonts w:ascii="Candara" w:hAnsi="Candara"/>
          <w:sz w:val="20"/>
          <w:szCs w:val="20"/>
        </w:rPr>
      </w:pPr>
      <w:r>
        <w:rPr>
          <w:rFonts w:ascii="Candara" w:hAnsi="Candara"/>
          <w:sz w:val="20"/>
          <w:szCs w:val="20"/>
        </w:rPr>
        <w:t xml:space="preserve">Kohl, H. (1994) “I won’t learn from you” and other thoughts on </w:t>
      </w:r>
      <w:proofErr w:type="gramStart"/>
      <w:r>
        <w:rPr>
          <w:rFonts w:ascii="Candara" w:hAnsi="Candara"/>
          <w:sz w:val="20"/>
          <w:szCs w:val="20"/>
        </w:rPr>
        <w:t>creative-maladjustment</w:t>
      </w:r>
      <w:proofErr w:type="gramEnd"/>
      <w:r w:rsidR="00025691">
        <w:rPr>
          <w:rFonts w:ascii="Candara" w:hAnsi="Candara"/>
          <w:sz w:val="20"/>
          <w:szCs w:val="20"/>
        </w:rPr>
        <w:t>. New York: the New Press.</w:t>
      </w:r>
    </w:p>
    <w:p w14:paraId="48ADE593" w14:textId="2CD2E10A" w:rsidR="00E10B15" w:rsidRDefault="00452DB1" w:rsidP="00A759FF">
      <w:pPr>
        <w:rPr>
          <w:rStyle w:val="Hyperlink"/>
          <w:rFonts w:ascii="Candara" w:hAnsi="Candara"/>
          <w:sz w:val="20"/>
          <w:szCs w:val="20"/>
        </w:rPr>
      </w:pPr>
      <w:proofErr w:type="spellStart"/>
      <w:r w:rsidRPr="00452DB1">
        <w:rPr>
          <w:rFonts w:ascii="Candara" w:hAnsi="Candara"/>
          <w:sz w:val="20"/>
          <w:szCs w:val="20"/>
        </w:rPr>
        <w:t>Lavina</w:t>
      </w:r>
      <w:proofErr w:type="spellEnd"/>
      <w:r w:rsidRPr="00452DB1">
        <w:rPr>
          <w:rFonts w:ascii="Candara" w:hAnsi="Candara"/>
          <w:sz w:val="20"/>
          <w:szCs w:val="20"/>
        </w:rPr>
        <w:t>,</w:t>
      </w:r>
      <w:r>
        <w:rPr>
          <w:rFonts w:ascii="Candara" w:hAnsi="Candara"/>
          <w:sz w:val="20"/>
          <w:szCs w:val="20"/>
        </w:rPr>
        <w:t xml:space="preserve"> L.,</w:t>
      </w:r>
      <w:r w:rsidRPr="00452DB1">
        <w:rPr>
          <w:rFonts w:ascii="Candara" w:hAnsi="Candara"/>
          <w:sz w:val="20"/>
          <w:szCs w:val="20"/>
        </w:rPr>
        <w:t xml:space="preserve"> Fleet</w:t>
      </w:r>
      <w:r>
        <w:rPr>
          <w:rFonts w:ascii="Candara" w:hAnsi="Candara"/>
          <w:sz w:val="20"/>
          <w:szCs w:val="20"/>
        </w:rPr>
        <w:t xml:space="preserve">, A., </w:t>
      </w:r>
      <w:r w:rsidRPr="00452DB1">
        <w:rPr>
          <w:rFonts w:ascii="Candara" w:hAnsi="Candara"/>
          <w:sz w:val="20"/>
          <w:szCs w:val="20"/>
        </w:rPr>
        <w:t xml:space="preserve"> &amp; Niland</w:t>
      </w:r>
      <w:r>
        <w:rPr>
          <w:rFonts w:ascii="Candara" w:hAnsi="Candara"/>
          <w:sz w:val="20"/>
          <w:szCs w:val="20"/>
        </w:rPr>
        <w:t>, A.</w:t>
      </w:r>
      <w:r w:rsidRPr="00452DB1">
        <w:rPr>
          <w:rFonts w:ascii="Candara" w:hAnsi="Candara"/>
          <w:sz w:val="20"/>
          <w:szCs w:val="20"/>
        </w:rPr>
        <w:t> (2017) The varied textures of an arts-informed methodology: Exploring teachers' identities through artful expressions, Journal of Curriculum and Pedagogy, 14:2, 143-163, DOI: </w:t>
      </w:r>
      <w:hyperlink r:id="rId17" w:history="1">
        <w:r w:rsidRPr="00452DB1">
          <w:rPr>
            <w:rStyle w:val="Hyperlink"/>
            <w:rFonts w:ascii="Candara" w:hAnsi="Candara"/>
            <w:sz w:val="20"/>
            <w:szCs w:val="20"/>
          </w:rPr>
          <w:t>10.1080/15505170.2017.1335252</w:t>
        </w:r>
      </w:hyperlink>
    </w:p>
    <w:p w14:paraId="4940BADC" w14:textId="032D63A0" w:rsidR="00A71581" w:rsidRPr="00C07075" w:rsidRDefault="00A71581" w:rsidP="00A759FF">
      <w:pPr>
        <w:rPr>
          <w:rFonts w:ascii="Candara" w:hAnsi="Candara"/>
          <w:sz w:val="20"/>
          <w:szCs w:val="20"/>
        </w:rPr>
      </w:pPr>
      <w:r w:rsidRPr="00C07075">
        <w:rPr>
          <w:rStyle w:val="Hyperlink"/>
          <w:rFonts w:ascii="Candara" w:hAnsi="Candara"/>
          <w:color w:val="auto"/>
          <w:sz w:val="20"/>
          <w:szCs w:val="20"/>
          <w:u w:val="none"/>
        </w:rPr>
        <w:lastRenderedPageBreak/>
        <w:t>Murray, D. (</w:t>
      </w:r>
      <w:r w:rsidR="00C07075" w:rsidRPr="00C07075">
        <w:rPr>
          <w:rStyle w:val="Hyperlink"/>
          <w:rFonts w:ascii="Candara" w:hAnsi="Candara"/>
          <w:color w:val="auto"/>
          <w:sz w:val="20"/>
          <w:szCs w:val="20"/>
          <w:u w:val="none"/>
        </w:rPr>
        <w:t>1990) ‘How the text instructs: Writing teaches writing.’</w:t>
      </w:r>
      <w:r w:rsidR="00C07075">
        <w:rPr>
          <w:rStyle w:val="Hyperlink"/>
          <w:rFonts w:ascii="Candara" w:hAnsi="Candara"/>
          <w:color w:val="auto"/>
          <w:sz w:val="20"/>
          <w:szCs w:val="20"/>
          <w:u w:val="none"/>
        </w:rPr>
        <w:t xml:space="preserve"> In: </w:t>
      </w:r>
      <w:proofErr w:type="spellStart"/>
      <w:r w:rsidR="00C07075">
        <w:rPr>
          <w:rStyle w:val="Hyperlink"/>
          <w:rFonts w:ascii="Candara" w:hAnsi="Candara"/>
          <w:color w:val="auto"/>
          <w:sz w:val="20"/>
          <w:szCs w:val="20"/>
          <w:u w:val="none"/>
        </w:rPr>
        <w:t>Daiker</w:t>
      </w:r>
      <w:proofErr w:type="spellEnd"/>
      <w:r w:rsidR="00C07075">
        <w:rPr>
          <w:rStyle w:val="Hyperlink"/>
          <w:rFonts w:ascii="Candara" w:hAnsi="Candara"/>
          <w:color w:val="auto"/>
          <w:sz w:val="20"/>
          <w:szCs w:val="20"/>
          <w:u w:val="none"/>
        </w:rPr>
        <w:t xml:space="preserve"> and </w:t>
      </w:r>
      <w:proofErr w:type="spellStart"/>
      <w:r w:rsidR="00C07075">
        <w:rPr>
          <w:rStyle w:val="Hyperlink"/>
          <w:rFonts w:ascii="Candara" w:hAnsi="Candara"/>
          <w:color w:val="auto"/>
          <w:sz w:val="20"/>
          <w:szCs w:val="20"/>
          <w:u w:val="none"/>
        </w:rPr>
        <w:t>Morenberg</w:t>
      </w:r>
      <w:proofErr w:type="spellEnd"/>
      <w:r w:rsidR="00C07075">
        <w:rPr>
          <w:rStyle w:val="Hyperlink"/>
          <w:rFonts w:ascii="Candara" w:hAnsi="Candara"/>
          <w:color w:val="auto"/>
          <w:sz w:val="20"/>
          <w:szCs w:val="20"/>
          <w:u w:val="none"/>
        </w:rPr>
        <w:t xml:space="preserve"> (eds.) </w:t>
      </w:r>
      <w:r w:rsidR="00C07075" w:rsidRPr="00C07075">
        <w:rPr>
          <w:rStyle w:val="Hyperlink"/>
          <w:rFonts w:ascii="Candara" w:hAnsi="Candara"/>
          <w:i/>
          <w:iCs/>
          <w:color w:val="auto"/>
          <w:sz w:val="20"/>
          <w:szCs w:val="20"/>
          <w:u w:val="none"/>
        </w:rPr>
        <w:t xml:space="preserve">The Writing Teacher as Researcher. </w:t>
      </w:r>
      <w:r w:rsidR="00C07075">
        <w:rPr>
          <w:rStyle w:val="Hyperlink"/>
          <w:rFonts w:ascii="Candara" w:hAnsi="Candara"/>
          <w:color w:val="auto"/>
          <w:sz w:val="20"/>
          <w:szCs w:val="20"/>
          <w:u w:val="none"/>
        </w:rPr>
        <w:t>Portsmouth: Boynton/Cook Publishers.</w:t>
      </w:r>
    </w:p>
    <w:p w14:paraId="3FC36A7D" w14:textId="092389A3" w:rsidR="006A35B2" w:rsidRPr="00A85E8D" w:rsidRDefault="006A35B2" w:rsidP="00A759FF">
      <w:pPr>
        <w:rPr>
          <w:rFonts w:ascii="Candara" w:hAnsi="Candara"/>
          <w:sz w:val="20"/>
          <w:szCs w:val="20"/>
        </w:rPr>
      </w:pPr>
      <w:r w:rsidRPr="006A35B2">
        <w:rPr>
          <w:rFonts w:ascii="Candara" w:hAnsi="Candara"/>
          <w:sz w:val="20"/>
          <w:szCs w:val="20"/>
        </w:rPr>
        <w:t xml:space="preserve">Mutton, T., Burn, K., &amp; </w:t>
      </w:r>
      <w:proofErr w:type="spellStart"/>
      <w:r w:rsidRPr="006A35B2">
        <w:rPr>
          <w:rFonts w:ascii="Candara" w:hAnsi="Candara"/>
          <w:sz w:val="20"/>
          <w:szCs w:val="20"/>
        </w:rPr>
        <w:t>Menter</w:t>
      </w:r>
      <w:proofErr w:type="spellEnd"/>
      <w:r w:rsidRPr="006A35B2">
        <w:rPr>
          <w:rFonts w:ascii="Candara" w:hAnsi="Candara"/>
          <w:sz w:val="20"/>
          <w:szCs w:val="20"/>
        </w:rPr>
        <w:t>, I. (2017). Deconstructing the Carter Review: Competing conceptions of quality in England’s ‘school-led’ system of initial teacher education. Journal of Education Policy, 32(1), 14-33.</w:t>
      </w:r>
    </w:p>
    <w:p w14:paraId="48B6D1EE" w14:textId="77777777" w:rsidR="00D46E7C"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 xml:space="preserve">National </w:t>
      </w:r>
      <w:proofErr w:type="spellStart"/>
      <w:r w:rsidRPr="00A85E8D">
        <w:rPr>
          <w:rFonts w:ascii="Candara" w:hAnsi="Candara" w:cs="Arial"/>
          <w:sz w:val="20"/>
          <w:szCs w:val="20"/>
        </w:rPr>
        <w:t>Center</w:t>
      </w:r>
      <w:proofErr w:type="spellEnd"/>
      <w:r w:rsidRPr="00A85E8D">
        <w:rPr>
          <w:rFonts w:ascii="Candara" w:hAnsi="Candara" w:cs="Arial"/>
          <w:sz w:val="20"/>
          <w:szCs w:val="20"/>
        </w:rPr>
        <w:t xml:space="preserve"> for Research on Teacher Education (1988). Teacher education and learning to teach: A research agenda. Journal of Teacher Education, 39(6), 27-32.</w:t>
      </w:r>
    </w:p>
    <w:p w14:paraId="605C349A" w14:textId="16AD6916" w:rsidR="00AD4AB7" w:rsidRDefault="00AD4AB7" w:rsidP="00BF0B9C">
      <w:pPr>
        <w:rPr>
          <w:rFonts w:ascii="Candara" w:hAnsi="Candara" w:cs="Arial"/>
          <w:sz w:val="20"/>
          <w:szCs w:val="20"/>
          <w:shd w:val="clear" w:color="auto" w:fill="FFFFFF"/>
        </w:rPr>
      </w:pPr>
      <w:proofErr w:type="gramStart"/>
      <w:r w:rsidRPr="00AD4AB7">
        <w:rPr>
          <w:rFonts w:ascii="Candara" w:hAnsi="Candara" w:cs="Arial"/>
          <w:sz w:val="20"/>
          <w:szCs w:val="20"/>
          <w:shd w:val="clear" w:color="auto" w:fill="FFFFFF"/>
        </w:rPr>
        <w:t>Paul,</w:t>
      </w:r>
      <w:r w:rsidRPr="00AD4AB7">
        <w:rPr>
          <w:rFonts w:ascii="Arial" w:hAnsi="Arial" w:cs="Arial"/>
          <w:sz w:val="20"/>
          <w:szCs w:val="20"/>
          <w:shd w:val="clear" w:color="auto" w:fill="FFFFFF"/>
        </w:rPr>
        <w:t> </w:t>
      </w:r>
      <w:r w:rsidRPr="00AD4AB7">
        <w:rPr>
          <w:rFonts w:ascii="Candara" w:hAnsi="Candara" w:cs="Arial"/>
          <w:sz w:val="20"/>
          <w:szCs w:val="20"/>
          <w:shd w:val="clear" w:color="auto" w:fill="FFFFFF"/>
        </w:rPr>
        <w:t xml:space="preserve"> R.</w:t>
      </w:r>
      <w:proofErr w:type="gramEnd"/>
      <w:r w:rsidRPr="00AD4AB7">
        <w:rPr>
          <w:rFonts w:ascii="Candara" w:hAnsi="Candara" w:cs="Arial"/>
          <w:sz w:val="20"/>
          <w:szCs w:val="20"/>
          <w:shd w:val="clear" w:color="auto" w:fill="FFFFFF"/>
        </w:rPr>
        <w:t xml:space="preserve"> and Elder,</w:t>
      </w:r>
      <w:r w:rsidRPr="00AD4AB7">
        <w:rPr>
          <w:rFonts w:ascii="Arial" w:hAnsi="Arial" w:cs="Arial"/>
          <w:sz w:val="20"/>
          <w:szCs w:val="20"/>
          <w:shd w:val="clear" w:color="auto" w:fill="FFFFFF"/>
        </w:rPr>
        <w:t> </w:t>
      </w:r>
      <w:r w:rsidRPr="00AD4AB7">
        <w:rPr>
          <w:rFonts w:ascii="Candara" w:hAnsi="Candara" w:cs="Arial"/>
          <w:sz w:val="20"/>
          <w:szCs w:val="20"/>
          <w:shd w:val="clear" w:color="auto" w:fill="FFFFFF"/>
        </w:rPr>
        <w:t xml:space="preserve"> L. </w:t>
      </w:r>
      <w:r>
        <w:rPr>
          <w:rFonts w:ascii="Candara" w:hAnsi="Candara" w:cs="Arial"/>
          <w:sz w:val="20"/>
          <w:szCs w:val="20"/>
          <w:shd w:val="clear" w:color="auto" w:fill="FFFFFF"/>
        </w:rPr>
        <w:t>(</w:t>
      </w:r>
      <w:r w:rsidRPr="00AD4AB7">
        <w:rPr>
          <w:rFonts w:ascii="Candara" w:hAnsi="Candara" w:cs="Arial"/>
          <w:sz w:val="20"/>
          <w:szCs w:val="20"/>
          <w:shd w:val="clear" w:color="auto" w:fill="FFFFFF"/>
        </w:rPr>
        <w:t>2008</w:t>
      </w:r>
      <w:r>
        <w:rPr>
          <w:rFonts w:ascii="Candara" w:hAnsi="Candara" w:cs="Arial"/>
          <w:sz w:val="20"/>
          <w:szCs w:val="20"/>
          <w:shd w:val="clear" w:color="auto" w:fill="FFFFFF"/>
        </w:rPr>
        <w:t>)</w:t>
      </w:r>
      <w:r w:rsidRPr="00AD4AB7">
        <w:rPr>
          <w:rFonts w:ascii="Candara" w:hAnsi="Candara" w:cs="Arial"/>
          <w:sz w:val="20"/>
          <w:szCs w:val="20"/>
          <w:shd w:val="clear" w:color="auto" w:fill="FFFFFF"/>
        </w:rPr>
        <w:t>. The Miniature Guide to Critical Thinking Concepts and Tools. Dillon Beach, CA: Foundation for Critical Thinking Press.</w:t>
      </w:r>
    </w:p>
    <w:p w14:paraId="44D9A18E" w14:textId="6A3D0F8C" w:rsidR="00CE164D" w:rsidRDefault="00CE164D" w:rsidP="00BF0B9C">
      <w:pPr>
        <w:rPr>
          <w:rFonts w:ascii="Candara" w:hAnsi="Candara" w:cs="Arial"/>
          <w:sz w:val="20"/>
          <w:szCs w:val="20"/>
          <w:shd w:val="clear" w:color="auto" w:fill="FFFFFF"/>
        </w:rPr>
      </w:pPr>
      <w:r w:rsidRPr="00CE164D">
        <w:rPr>
          <w:rFonts w:ascii="Candara" w:hAnsi="Candara" w:cs="Arial"/>
          <w:sz w:val="20"/>
          <w:szCs w:val="20"/>
          <w:shd w:val="clear" w:color="auto" w:fill="FFFFFF"/>
        </w:rPr>
        <w:t xml:space="preserve">Palmer, </w:t>
      </w:r>
      <w:r w:rsidR="00124A7A">
        <w:rPr>
          <w:rFonts w:ascii="Candara" w:hAnsi="Candara" w:cs="Arial"/>
          <w:sz w:val="20"/>
          <w:szCs w:val="20"/>
          <w:shd w:val="clear" w:color="auto" w:fill="FFFFFF"/>
        </w:rPr>
        <w:t xml:space="preserve">P.J.  </w:t>
      </w:r>
      <w:r w:rsidRPr="00CE164D">
        <w:rPr>
          <w:rFonts w:ascii="Candara" w:hAnsi="Candara" w:cs="Arial"/>
          <w:sz w:val="20"/>
          <w:szCs w:val="20"/>
          <w:shd w:val="clear" w:color="auto" w:fill="FFFFFF"/>
        </w:rPr>
        <w:t>(</w:t>
      </w:r>
      <w:r w:rsidR="00124A7A">
        <w:rPr>
          <w:rFonts w:ascii="Candara" w:hAnsi="Candara" w:cs="Arial"/>
          <w:sz w:val="20"/>
          <w:szCs w:val="20"/>
          <w:shd w:val="clear" w:color="auto" w:fill="FFFFFF"/>
        </w:rPr>
        <w:t>2007</w:t>
      </w:r>
      <w:r w:rsidRPr="00CE164D">
        <w:rPr>
          <w:rFonts w:ascii="Candara" w:hAnsi="Candara" w:cs="Arial"/>
          <w:sz w:val="20"/>
          <w:szCs w:val="20"/>
          <w:shd w:val="clear" w:color="auto" w:fill="FFFFFF"/>
        </w:rPr>
        <w:t>). The courage to teach: Exploring the inner landscape of the teacher's life (10th anniversary ed.). San Francisco: Jossey-Bass.</w:t>
      </w:r>
    </w:p>
    <w:p w14:paraId="410831C6" w14:textId="33D4EC3A" w:rsidR="007E589B" w:rsidRDefault="007E589B" w:rsidP="00BF0B9C">
      <w:pPr>
        <w:rPr>
          <w:rFonts w:ascii="Candara" w:hAnsi="Candara" w:cs="Arial"/>
          <w:sz w:val="20"/>
          <w:szCs w:val="20"/>
          <w:shd w:val="clear" w:color="auto" w:fill="FFFFFF"/>
        </w:rPr>
      </w:pPr>
      <w:r w:rsidRPr="007E589B">
        <w:rPr>
          <w:rFonts w:ascii="Candara" w:hAnsi="Candara" w:cs="Arial"/>
          <w:sz w:val="20"/>
          <w:szCs w:val="20"/>
          <w:shd w:val="clear" w:color="auto" w:fill="FFFFFF"/>
        </w:rPr>
        <w:t>Richardson, L. (1994). Writing: A method of inquiry. In N.K. Denzin &amp; Y.S. Lincoln (Eds.) Handbook of qualitative research (pp. 516–529). Thousand Oaks, CA: Sage Publications.</w:t>
      </w:r>
    </w:p>
    <w:p w14:paraId="613CF73D" w14:textId="79096975" w:rsidR="00201ED8" w:rsidRDefault="00201ED8" w:rsidP="00BF0B9C">
      <w:pPr>
        <w:rPr>
          <w:rFonts w:ascii="Candara" w:hAnsi="Candara" w:cs="Arial"/>
          <w:sz w:val="20"/>
          <w:szCs w:val="20"/>
          <w:shd w:val="clear" w:color="auto" w:fill="FFFFFF"/>
        </w:rPr>
      </w:pPr>
      <w:r>
        <w:rPr>
          <w:rFonts w:ascii="Candara" w:hAnsi="Candara" w:cs="Arial"/>
          <w:sz w:val="20"/>
          <w:szCs w:val="20"/>
          <w:shd w:val="clear" w:color="auto" w:fill="FFFFFF"/>
        </w:rPr>
        <w:t>Rogers (2001)</w:t>
      </w:r>
    </w:p>
    <w:p w14:paraId="41E64B64" w14:textId="04DEC389" w:rsidR="00653041" w:rsidRDefault="00653041" w:rsidP="00BF0B9C">
      <w:pPr>
        <w:rPr>
          <w:rFonts w:ascii="Candara" w:hAnsi="Candara" w:cs="Arial"/>
          <w:sz w:val="20"/>
          <w:szCs w:val="20"/>
          <w:shd w:val="clear" w:color="auto" w:fill="FFFFFF"/>
        </w:rPr>
      </w:pPr>
      <w:r w:rsidRPr="00653041">
        <w:rPr>
          <w:rFonts w:ascii="Candara" w:hAnsi="Candara" w:cs="Arial"/>
          <w:sz w:val="20"/>
          <w:szCs w:val="20"/>
          <w:shd w:val="clear" w:color="auto" w:fill="FFFFFF"/>
        </w:rPr>
        <w:t xml:space="preserve">Schooler, J. W., </w:t>
      </w:r>
      <w:proofErr w:type="spellStart"/>
      <w:r w:rsidRPr="00653041">
        <w:rPr>
          <w:rFonts w:ascii="Candara" w:hAnsi="Candara" w:cs="Arial"/>
          <w:sz w:val="20"/>
          <w:szCs w:val="20"/>
          <w:shd w:val="clear" w:color="auto" w:fill="FFFFFF"/>
        </w:rPr>
        <w:t>Reichle</w:t>
      </w:r>
      <w:proofErr w:type="spellEnd"/>
      <w:r w:rsidRPr="00653041">
        <w:rPr>
          <w:rFonts w:ascii="Candara" w:hAnsi="Candara" w:cs="Arial"/>
          <w:sz w:val="20"/>
          <w:szCs w:val="20"/>
          <w:shd w:val="clear" w:color="auto" w:fill="FFFFFF"/>
        </w:rPr>
        <w:t>, E. D., &amp; Halpern, D. V. (2004). Zoning out while</w:t>
      </w:r>
      <w:r>
        <w:rPr>
          <w:rFonts w:ascii="Candara" w:hAnsi="Candara" w:cs="Arial"/>
          <w:sz w:val="20"/>
          <w:szCs w:val="20"/>
          <w:shd w:val="clear" w:color="auto" w:fill="FFFFFF"/>
        </w:rPr>
        <w:t xml:space="preserve"> </w:t>
      </w:r>
      <w:r w:rsidRPr="00653041">
        <w:rPr>
          <w:rFonts w:ascii="Candara" w:hAnsi="Candara" w:cs="Arial"/>
          <w:sz w:val="20"/>
          <w:szCs w:val="20"/>
          <w:shd w:val="clear" w:color="auto" w:fill="FFFFFF"/>
        </w:rPr>
        <w:t xml:space="preserve">reading: Evidence for dissociations between experience and </w:t>
      </w:r>
      <w:proofErr w:type="spellStart"/>
      <w:r w:rsidRPr="00653041">
        <w:rPr>
          <w:rFonts w:ascii="Candara" w:hAnsi="Candara" w:cs="Arial"/>
          <w:sz w:val="20"/>
          <w:szCs w:val="20"/>
          <w:shd w:val="clear" w:color="auto" w:fill="FFFFFF"/>
        </w:rPr>
        <w:t>metaconsciousness</w:t>
      </w:r>
      <w:proofErr w:type="spellEnd"/>
      <w:r w:rsidRPr="00653041">
        <w:rPr>
          <w:rFonts w:ascii="Candara" w:hAnsi="Candara" w:cs="Arial"/>
          <w:sz w:val="20"/>
          <w:szCs w:val="20"/>
          <w:shd w:val="clear" w:color="auto" w:fill="FFFFFF"/>
        </w:rPr>
        <w:t>. In D. T. Levin (Ed.), Thinking and seeing: Visual metacognition in adults and children (pp. 203–226). Cambridge, MA: MI</w:t>
      </w:r>
      <w:r w:rsidR="004F5FE2">
        <w:rPr>
          <w:rFonts w:ascii="Candara" w:hAnsi="Candara" w:cs="Arial"/>
          <w:sz w:val="20"/>
          <w:szCs w:val="20"/>
          <w:shd w:val="clear" w:color="auto" w:fill="FFFFFF"/>
        </w:rPr>
        <w:t xml:space="preserve">T </w:t>
      </w:r>
      <w:r w:rsidRPr="00653041">
        <w:rPr>
          <w:rFonts w:ascii="Candara" w:hAnsi="Candara" w:cs="Arial"/>
          <w:sz w:val="20"/>
          <w:szCs w:val="20"/>
          <w:shd w:val="clear" w:color="auto" w:fill="FFFFFF"/>
        </w:rPr>
        <w:t>Press</w:t>
      </w:r>
    </w:p>
    <w:p w14:paraId="2CD59DC5" w14:textId="383A9CE1" w:rsidR="00A718F2" w:rsidRDefault="00A718F2" w:rsidP="00BF0B9C">
      <w:pPr>
        <w:rPr>
          <w:rFonts w:ascii="Candara" w:hAnsi="Candara" w:cs="Arial"/>
          <w:sz w:val="20"/>
          <w:szCs w:val="20"/>
          <w:shd w:val="clear" w:color="auto" w:fill="FFFFFF"/>
        </w:rPr>
      </w:pPr>
      <w:r>
        <w:rPr>
          <w:rFonts w:ascii="Candara" w:hAnsi="Candara" w:cs="Arial"/>
          <w:sz w:val="20"/>
          <w:szCs w:val="20"/>
          <w:shd w:val="clear" w:color="auto" w:fill="FFFFFF"/>
        </w:rPr>
        <w:t>Schon (1987)</w:t>
      </w:r>
    </w:p>
    <w:p w14:paraId="3C1084F8" w14:textId="6653F941" w:rsidR="00A718F2" w:rsidRDefault="00A718F2" w:rsidP="00BF0B9C">
      <w:pPr>
        <w:rPr>
          <w:rFonts w:ascii="Candara" w:hAnsi="Candara" w:cs="Arial"/>
          <w:sz w:val="20"/>
          <w:szCs w:val="20"/>
          <w:shd w:val="clear" w:color="auto" w:fill="FFFFFF"/>
        </w:rPr>
      </w:pPr>
      <w:r>
        <w:rPr>
          <w:rFonts w:ascii="Candara" w:hAnsi="Candara" w:cs="Arial"/>
          <w:sz w:val="20"/>
          <w:szCs w:val="20"/>
          <w:shd w:val="clear" w:color="auto" w:fill="FFFFFF"/>
        </w:rPr>
        <w:t>Schoenfeld (19</w:t>
      </w:r>
      <w:r w:rsidR="008D3282">
        <w:rPr>
          <w:rFonts w:ascii="Candara" w:hAnsi="Candara" w:cs="Arial"/>
          <w:sz w:val="20"/>
          <w:szCs w:val="20"/>
          <w:shd w:val="clear" w:color="auto" w:fill="FFFFFF"/>
        </w:rPr>
        <w:t>9</w:t>
      </w:r>
      <w:r>
        <w:rPr>
          <w:rFonts w:ascii="Candara" w:hAnsi="Candara" w:cs="Arial"/>
          <w:sz w:val="20"/>
          <w:szCs w:val="20"/>
          <w:shd w:val="clear" w:color="auto" w:fill="FFFFFF"/>
        </w:rPr>
        <w:t>8)</w:t>
      </w:r>
    </w:p>
    <w:p w14:paraId="75F021D7" w14:textId="6C13A7A1" w:rsidR="005D791D" w:rsidRDefault="005D791D" w:rsidP="00BF0B9C">
      <w:pPr>
        <w:rPr>
          <w:rFonts w:ascii="Candara" w:hAnsi="Candara" w:cs="Arial"/>
          <w:sz w:val="20"/>
          <w:szCs w:val="20"/>
          <w:shd w:val="clear" w:color="auto" w:fill="FFFFFF"/>
        </w:rPr>
      </w:pPr>
      <w:proofErr w:type="spellStart"/>
      <w:r>
        <w:rPr>
          <w:rFonts w:ascii="Candara" w:hAnsi="Candara" w:cs="Arial"/>
          <w:sz w:val="20"/>
          <w:szCs w:val="20"/>
          <w:shd w:val="clear" w:color="auto" w:fill="FFFFFF"/>
        </w:rPr>
        <w:t>Shagoury</w:t>
      </w:r>
      <w:proofErr w:type="spellEnd"/>
      <w:r w:rsidR="001234DD">
        <w:rPr>
          <w:rFonts w:ascii="Candara" w:hAnsi="Candara" w:cs="Arial"/>
          <w:sz w:val="20"/>
          <w:szCs w:val="20"/>
          <w:shd w:val="clear" w:color="auto" w:fill="FFFFFF"/>
        </w:rPr>
        <w:t xml:space="preserve">, R. (2011). Crystallization: Teacher Researchers Making Room for Creative Leaps in Data Analysis. </w:t>
      </w:r>
      <w:proofErr w:type="spellStart"/>
      <w:r w:rsidR="008247C1">
        <w:rPr>
          <w:rFonts w:ascii="Candara" w:hAnsi="Candara" w:cs="Arial"/>
          <w:sz w:val="20"/>
          <w:szCs w:val="20"/>
          <w:shd w:val="clear" w:color="auto" w:fill="FFFFFF"/>
        </w:rPr>
        <w:t>LEARNing</w:t>
      </w:r>
      <w:proofErr w:type="spellEnd"/>
      <w:r w:rsidR="008247C1">
        <w:rPr>
          <w:rFonts w:ascii="Candara" w:hAnsi="Candara" w:cs="Arial"/>
          <w:sz w:val="20"/>
          <w:szCs w:val="20"/>
          <w:shd w:val="clear" w:color="auto" w:fill="FFFFFF"/>
        </w:rPr>
        <w:t xml:space="preserve"> Landscapes, Vol. 4:2. (Accessed online</w:t>
      </w:r>
      <w:r w:rsidR="001319FB">
        <w:rPr>
          <w:rFonts w:ascii="Candara" w:hAnsi="Candara" w:cs="Arial"/>
          <w:sz w:val="20"/>
          <w:szCs w:val="20"/>
          <w:shd w:val="clear" w:color="auto" w:fill="FFFFFF"/>
        </w:rPr>
        <w:t xml:space="preserve"> 12/04/23)</w:t>
      </w:r>
    </w:p>
    <w:p w14:paraId="67F25FF5" w14:textId="2E86C5FE" w:rsidR="00BF0B9C" w:rsidRPr="00A759FF" w:rsidRDefault="00BF0B9C" w:rsidP="00BF0B9C">
      <w:pPr>
        <w:rPr>
          <w:rFonts w:ascii="Candara" w:hAnsi="Candara" w:cs="Arial"/>
          <w:sz w:val="20"/>
          <w:szCs w:val="20"/>
          <w:shd w:val="clear" w:color="auto" w:fill="FFFFFF"/>
        </w:rPr>
      </w:pPr>
      <w:r w:rsidRPr="00A759FF">
        <w:rPr>
          <w:rFonts w:ascii="Candara" w:hAnsi="Candara" w:cs="Arial"/>
          <w:sz w:val="20"/>
          <w:szCs w:val="20"/>
          <w:shd w:val="clear" w:color="auto" w:fill="FFFFFF"/>
        </w:rPr>
        <w:t>Shulman</w:t>
      </w:r>
      <w:r>
        <w:rPr>
          <w:rFonts w:ascii="Candara" w:hAnsi="Candara" w:cs="Arial"/>
          <w:sz w:val="20"/>
          <w:szCs w:val="20"/>
          <w:shd w:val="clear" w:color="auto" w:fill="FFFFFF"/>
        </w:rPr>
        <w:t>, J.H.</w:t>
      </w:r>
      <w:r w:rsidRPr="00A759FF">
        <w:rPr>
          <w:rFonts w:ascii="Candara" w:hAnsi="Candara" w:cs="Arial"/>
          <w:sz w:val="20"/>
          <w:szCs w:val="20"/>
          <w:shd w:val="clear" w:color="auto" w:fill="FFFFFF"/>
        </w:rPr>
        <w:t> (Ed.), Case methods in teacher education, Teachers College Press, Columbia University, New York (1992), pp. 33-49</w:t>
      </w:r>
    </w:p>
    <w:p w14:paraId="28A07426" w14:textId="77777777" w:rsidR="00D46E7C" w:rsidRPr="00A85E8D"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Shulman, L. S. (1986). In M. C. Wittrock (Ed.), Handbook of research on teaching (3rd ed., pp. 3-36). New York: Macmillan</w:t>
      </w:r>
    </w:p>
    <w:p w14:paraId="2E94A3BB" w14:textId="77777777" w:rsidR="00D46E7C" w:rsidRDefault="00D46E7C" w:rsidP="00D46E7C">
      <w:pPr>
        <w:autoSpaceDE w:val="0"/>
        <w:autoSpaceDN w:val="0"/>
        <w:adjustRightInd w:val="0"/>
        <w:spacing w:after="240" w:line="240" w:lineRule="auto"/>
        <w:rPr>
          <w:rFonts w:ascii="Candara" w:hAnsi="Candara" w:cs="Arial"/>
          <w:sz w:val="20"/>
          <w:szCs w:val="20"/>
        </w:rPr>
      </w:pPr>
      <w:r w:rsidRPr="00A85E8D">
        <w:rPr>
          <w:rFonts w:ascii="Candara" w:hAnsi="Candara" w:cs="Arial"/>
          <w:sz w:val="20"/>
          <w:szCs w:val="20"/>
        </w:rPr>
        <w:t>Shulman, L. S. (1987). Knowledge and teaching: Foundations of the new reform. Harvard Educational Review, 57, 1-22.</w:t>
      </w:r>
    </w:p>
    <w:p w14:paraId="1CA879C5" w14:textId="643007C6" w:rsidR="001E2A4C" w:rsidRDefault="001E2A4C" w:rsidP="00D46E7C">
      <w:pPr>
        <w:autoSpaceDE w:val="0"/>
        <w:autoSpaceDN w:val="0"/>
        <w:adjustRightInd w:val="0"/>
        <w:spacing w:after="240" w:line="240" w:lineRule="auto"/>
        <w:rPr>
          <w:rFonts w:ascii="Candara" w:hAnsi="Candara" w:cs="Arial"/>
          <w:sz w:val="20"/>
          <w:szCs w:val="20"/>
        </w:rPr>
      </w:pPr>
      <w:proofErr w:type="spellStart"/>
      <w:r w:rsidRPr="001E2A4C">
        <w:rPr>
          <w:rFonts w:ascii="Candara" w:hAnsi="Candara" w:cs="Arial"/>
          <w:sz w:val="20"/>
          <w:szCs w:val="20"/>
        </w:rPr>
        <w:t>Siegesmund</w:t>
      </w:r>
      <w:proofErr w:type="spellEnd"/>
      <w:r w:rsidRPr="001E2A4C">
        <w:rPr>
          <w:rFonts w:ascii="Candara" w:hAnsi="Candara" w:cs="Arial"/>
          <w:sz w:val="20"/>
          <w:szCs w:val="20"/>
        </w:rPr>
        <w:t>, R. (2012). Dewey through a/r/</w:t>
      </w:r>
      <w:proofErr w:type="spellStart"/>
      <w:r w:rsidRPr="001E2A4C">
        <w:rPr>
          <w:rFonts w:ascii="Candara" w:hAnsi="Candara" w:cs="Arial"/>
          <w:sz w:val="20"/>
          <w:szCs w:val="20"/>
        </w:rPr>
        <w:t>tography</w:t>
      </w:r>
      <w:proofErr w:type="spellEnd"/>
      <w:r w:rsidRPr="001E2A4C">
        <w:rPr>
          <w:rFonts w:ascii="Candara" w:hAnsi="Candara" w:cs="Arial"/>
          <w:sz w:val="20"/>
          <w:szCs w:val="20"/>
        </w:rPr>
        <w:t>. </w:t>
      </w:r>
      <w:r w:rsidRPr="001E2A4C">
        <w:rPr>
          <w:rFonts w:ascii="Candara" w:hAnsi="Candara" w:cs="Arial"/>
          <w:i/>
          <w:iCs/>
          <w:sz w:val="20"/>
          <w:szCs w:val="20"/>
        </w:rPr>
        <w:t>Visual Arts Research</w:t>
      </w:r>
      <w:r w:rsidRPr="001E2A4C">
        <w:rPr>
          <w:rFonts w:ascii="Candara" w:hAnsi="Candara" w:cs="Arial"/>
          <w:sz w:val="20"/>
          <w:szCs w:val="20"/>
        </w:rPr>
        <w:t>, </w:t>
      </w:r>
      <w:r w:rsidRPr="001E2A4C">
        <w:rPr>
          <w:rFonts w:ascii="Candara" w:hAnsi="Candara" w:cs="Arial"/>
          <w:i/>
          <w:iCs/>
          <w:sz w:val="20"/>
          <w:szCs w:val="20"/>
        </w:rPr>
        <w:t>38</w:t>
      </w:r>
      <w:r w:rsidRPr="001E2A4C">
        <w:rPr>
          <w:rFonts w:ascii="Candara" w:hAnsi="Candara" w:cs="Arial"/>
          <w:sz w:val="20"/>
          <w:szCs w:val="20"/>
        </w:rPr>
        <w:t>(2), 99-109</w:t>
      </w:r>
    </w:p>
    <w:p w14:paraId="0A89A51A" w14:textId="7AE6692A" w:rsidR="00707753" w:rsidRDefault="00707753" w:rsidP="00D46E7C">
      <w:pPr>
        <w:autoSpaceDE w:val="0"/>
        <w:autoSpaceDN w:val="0"/>
        <w:adjustRightInd w:val="0"/>
        <w:spacing w:after="240" w:line="240" w:lineRule="auto"/>
        <w:rPr>
          <w:rFonts w:ascii="Candara" w:hAnsi="Candara" w:cs="Arial"/>
          <w:sz w:val="20"/>
          <w:szCs w:val="20"/>
        </w:rPr>
      </w:pPr>
      <w:r>
        <w:rPr>
          <w:rFonts w:ascii="Candara" w:hAnsi="Candara" w:cs="Arial"/>
          <w:sz w:val="20"/>
          <w:szCs w:val="20"/>
        </w:rPr>
        <w:t xml:space="preserve">Smyth (1995) </w:t>
      </w:r>
    </w:p>
    <w:p w14:paraId="2E9429AE" w14:textId="77777777" w:rsidR="00880B22" w:rsidRDefault="00880B22" w:rsidP="00880B22">
      <w:pPr>
        <w:rPr>
          <w:rFonts w:ascii="Candara" w:hAnsi="Candara" w:cs="Arial"/>
          <w:sz w:val="20"/>
          <w:szCs w:val="20"/>
          <w:shd w:val="clear" w:color="auto" w:fill="FFFFFF"/>
        </w:rPr>
      </w:pPr>
      <w:proofErr w:type="spellStart"/>
      <w:r>
        <w:rPr>
          <w:rFonts w:ascii="Candara" w:hAnsi="Candara" w:cs="Arial"/>
          <w:sz w:val="20"/>
          <w:szCs w:val="20"/>
          <w:shd w:val="clear" w:color="auto" w:fill="FFFFFF"/>
        </w:rPr>
        <w:t>Springford</w:t>
      </w:r>
      <w:proofErr w:type="spellEnd"/>
      <w:r>
        <w:rPr>
          <w:rFonts w:ascii="Candara" w:hAnsi="Candara" w:cs="Arial"/>
          <w:sz w:val="20"/>
          <w:szCs w:val="20"/>
          <w:shd w:val="clear" w:color="auto" w:fill="FFFFFF"/>
        </w:rPr>
        <w:t>, M. (director), (2010) Imagine: Art Is Child’s Play. BBC One, 22 June 2010 (film).</w:t>
      </w:r>
    </w:p>
    <w:p w14:paraId="050FBB81" w14:textId="77777777" w:rsidR="00880B22" w:rsidRDefault="00880B22" w:rsidP="00880B22">
      <w:pPr>
        <w:rPr>
          <w:rFonts w:ascii="Candara" w:hAnsi="Candara" w:cs="Arial"/>
          <w:sz w:val="20"/>
          <w:szCs w:val="20"/>
          <w:shd w:val="clear" w:color="auto" w:fill="FFFFFF"/>
        </w:rPr>
      </w:pPr>
      <w:proofErr w:type="spellStart"/>
      <w:r w:rsidRPr="008136F7">
        <w:rPr>
          <w:rFonts w:ascii="Candara" w:hAnsi="Candara" w:cs="Arial"/>
          <w:sz w:val="20"/>
          <w:szCs w:val="20"/>
          <w:shd w:val="clear" w:color="auto" w:fill="FFFFFF"/>
        </w:rPr>
        <w:t>Springgay</w:t>
      </w:r>
      <w:proofErr w:type="spellEnd"/>
      <w:r w:rsidRPr="008136F7">
        <w:rPr>
          <w:rFonts w:ascii="Candara" w:hAnsi="Candara" w:cs="Arial"/>
          <w:sz w:val="20"/>
          <w:szCs w:val="20"/>
          <w:shd w:val="clear" w:color="auto" w:fill="FFFFFF"/>
        </w:rPr>
        <w:t>, S., Irwin, R. L., &amp; Kind, S. W. (2005). A/r/</w:t>
      </w:r>
      <w:proofErr w:type="spellStart"/>
      <w:r w:rsidRPr="008136F7">
        <w:rPr>
          <w:rFonts w:ascii="Candara" w:hAnsi="Candara" w:cs="Arial"/>
          <w:sz w:val="20"/>
          <w:szCs w:val="20"/>
          <w:shd w:val="clear" w:color="auto" w:fill="FFFFFF"/>
        </w:rPr>
        <w:t>tography</w:t>
      </w:r>
      <w:proofErr w:type="spellEnd"/>
      <w:r w:rsidRPr="008136F7">
        <w:rPr>
          <w:rFonts w:ascii="Candara" w:hAnsi="Candara" w:cs="Arial"/>
          <w:sz w:val="20"/>
          <w:szCs w:val="20"/>
          <w:shd w:val="clear" w:color="auto" w:fill="FFFFFF"/>
        </w:rPr>
        <w:t xml:space="preserve"> as Living Inquiry Through Art and Text. </w:t>
      </w:r>
      <w:r w:rsidRPr="008136F7">
        <w:rPr>
          <w:rFonts w:ascii="Candara" w:hAnsi="Candara" w:cs="Arial"/>
          <w:i/>
          <w:iCs/>
          <w:sz w:val="20"/>
          <w:szCs w:val="20"/>
          <w:shd w:val="clear" w:color="auto" w:fill="FFFFFF"/>
        </w:rPr>
        <w:t>Qualitative Inquiry</w:t>
      </w:r>
      <w:r w:rsidRPr="008136F7">
        <w:rPr>
          <w:rFonts w:ascii="Candara" w:hAnsi="Candara" w:cs="Arial"/>
          <w:sz w:val="20"/>
          <w:szCs w:val="20"/>
          <w:shd w:val="clear" w:color="auto" w:fill="FFFFFF"/>
        </w:rPr>
        <w:t>, </w:t>
      </w:r>
      <w:r w:rsidRPr="008136F7">
        <w:rPr>
          <w:rFonts w:ascii="Candara" w:hAnsi="Candara" w:cs="Arial"/>
          <w:i/>
          <w:iCs/>
          <w:sz w:val="20"/>
          <w:szCs w:val="20"/>
          <w:shd w:val="clear" w:color="auto" w:fill="FFFFFF"/>
        </w:rPr>
        <w:t>11</w:t>
      </w:r>
      <w:r w:rsidRPr="008136F7">
        <w:rPr>
          <w:rFonts w:ascii="Candara" w:hAnsi="Candara" w:cs="Arial"/>
          <w:sz w:val="20"/>
          <w:szCs w:val="20"/>
          <w:shd w:val="clear" w:color="auto" w:fill="FFFFFF"/>
        </w:rPr>
        <w:t>(6), 897–912. </w:t>
      </w:r>
      <w:hyperlink r:id="rId18" w:history="1">
        <w:r w:rsidRPr="008136F7">
          <w:rPr>
            <w:rStyle w:val="Hyperlink"/>
            <w:rFonts w:ascii="Candara" w:hAnsi="Candara" w:cs="Arial"/>
            <w:sz w:val="20"/>
            <w:szCs w:val="20"/>
            <w:shd w:val="clear" w:color="auto" w:fill="FFFFFF"/>
          </w:rPr>
          <w:t>https://doi.org/10.1177/1077800405280696</w:t>
        </w:r>
      </w:hyperlink>
    </w:p>
    <w:p w14:paraId="1A650287" w14:textId="6B9A6CF1" w:rsidR="009849EC" w:rsidRPr="00766A1B" w:rsidRDefault="009849EC" w:rsidP="00766A1B">
      <w:pPr>
        <w:rPr>
          <w:rFonts w:ascii="Candara" w:hAnsi="Candara" w:cs="Arial"/>
          <w:sz w:val="20"/>
          <w:szCs w:val="20"/>
          <w:shd w:val="clear" w:color="auto" w:fill="FFFFFF"/>
        </w:rPr>
      </w:pPr>
      <w:r w:rsidRPr="009849EC">
        <w:rPr>
          <w:rFonts w:ascii="Candara" w:hAnsi="Candara" w:cs="Arial"/>
          <w:sz w:val="20"/>
          <w:szCs w:val="20"/>
        </w:rPr>
        <w:t>Tishman, S., Jay. E., &amp; Perkins, D. N. (1993). Teaching thinking dispositions: From transmission to</w:t>
      </w:r>
      <w:r w:rsidR="00766A1B">
        <w:rPr>
          <w:rFonts w:ascii="Candara" w:hAnsi="Candara" w:cs="Arial"/>
          <w:sz w:val="20"/>
          <w:szCs w:val="20"/>
        </w:rPr>
        <w:t xml:space="preserve"> </w:t>
      </w:r>
      <w:r w:rsidRPr="009849EC">
        <w:rPr>
          <w:rFonts w:ascii="Candara" w:hAnsi="Candara" w:cs="Arial"/>
          <w:sz w:val="20"/>
          <w:szCs w:val="20"/>
        </w:rPr>
        <w:t xml:space="preserve">enculturation. Theory into Practice, 32, 147-153. </w:t>
      </w:r>
      <w:hyperlink r:id="rId19" w:history="1">
        <w:r w:rsidRPr="00635FF6">
          <w:rPr>
            <w:rStyle w:val="Hyperlink"/>
            <w:rFonts w:ascii="Candara" w:hAnsi="Candara" w:cs="Arial"/>
            <w:sz w:val="20"/>
            <w:szCs w:val="20"/>
          </w:rPr>
          <w:t>http://dx.doi.org/10.1080/00405849309543590</w:t>
        </w:r>
      </w:hyperlink>
      <w:r>
        <w:rPr>
          <w:rFonts w:ascii="Candara" w:hAnsi="Candara" w:cs="Arial"/>
          <w:sz w:val="20"/>
          <w:szCs w:val="20"/>
        </w:rPr>
        <w:t xml:space="preserve"> </w:t>
      </w:r>
    </w:p>
    <w:p w14:paraId="7D408038" w14:textId="0D507E94" w:rsidR="00890149" w:rsidRPr="00A85E8D" w:rsidRDefault="00890149" w:rsidP="00D46E7C">
      <w:pPr>
        <w:autoSpaceDE w:val="0"/>
        <w:autoSpaceDN w:val="0"/>
        <w:adjustRightInd w:val="0"/>
        <w:spacing w:after="240" w:line="240" w:lineRule="auto"/>
        <w:rPr>
          <w:rFonts w:ascii="Candara" w:hAnsi="Candara" w:cs="Arial"/>
          <w:sz w:val="20"/>
          <w:szCs w:val="20"/>
        </w:rPr>
      </w:pPr>
      <w:r>
        <w:rPr>
          <w:rFonts w:ascii="Candara" w:hAnsi="Candara" w:cs="Arial"/>
          <w:sz w:val="20"/>
          <w:szCs w:val="20"/>
        </w:rPr>
        <w:t>Williams, R. (2010)</w:t>
      </w:r>
      <w:r w:rsidR="00753AA2">
        <w:rPr>
          <w:rFonts w:ascii="Candara" w:hAnsi="Candara" w:cs="Arial"/>
          <w:sz w:val="20"/>
          <w:szCs w:val="20"/>
        </w:rPr>
        <w:t xml:space="preserve">. </w:t>
      </w:r>
      <w:r w:rsidR="00753AA2" w:rsidRPr="00753AA2">
        <w:rPr>
          <w:rFonts w:ascii="Candara" w:hAnsi="Candara" w:cs="Arial"/>
          <w:sz w:val="20"/>
          <w:szCs w:val="20"/>
        </w:rPr>
        <w:t>S</w:t>
      </w:r>
      <w:r w:rsidR="00753AA2">
        <w:rPr>
          <w:rFonts w:ascii="Candara" w:hAnsi="Candara" w:cs="Arial"/>
          <w:sz w:val="20"/>
          <w:szCs w:val="20"/>
        </w:rPr>
        <w:t>eeking wide-</w:t>
      </w:r>
      <w:proofErr w:type="spellStart"/>
      <w:r w:rsidR="00753AA2">
        <w:rPr>
          <w:rFonts w:ascii="Candara" w:hAnsi="Candara" w:cs="Arial"/>
          <w:sz w:val="20"/>
          <w:szCs w:val="20"/>
        </w:rPr>
        <w:t>awakeness</w:t>
      </w:r>
      <w:proofErr w:type="spellEnd"/>
      <w:r w:rsidR="00753AA2">
        <w:rPr>
          <w:rFonts w:ascii="Candara" w:hAnsi="Candara" w:cs="Arial"/>
          <w:sz w:val="20"/>
          <w:szCs w:val="20"/>
        </w:rPr>
        <w:t>: An exploration of engagement in a</w:t>
      </w:r>
      <w:r w:rsidR="001E4D21">
        <w:rPr>
          <w:rFonts w:ascii="Candara" w:hAnsi="Candara" w:cs="Arial"/>
          <w:sz w:val="20"/>
          <w:szCs w:val="20"/>
        </w:rPr>
        <w:t xml:space="preserve"> </w:t>
      </w:r>
      <w:r w:rsidR="00753AA2">
        <w:rPr>
          <w:rFonts w:ascii="Candara" w:hAnsi="Candara" w:cs="Arial"/>
          <w:sz w:val="20"/>
          <w:szCs w:val="20"/>
        </w:rPr>
        <w:t xml:space="preserve">high school visual arts course. </w:t>
      </w:r>
      <w:hyperlink r:id="rId20" w:history="1">
        <w:r w:rsidR="001E4D21" w:rsidRPr="00F43224">
          <w:rPr>
            <w:rStyle w:val="Hyperlink"/>
            <w:rFonts w:ascii="Candara" w:hAnsi="Candara" w:cs="Arial"/>
            <w:sz w:val="20"/>
            <w:szCs w:val="20"/>
          </w:rPr>
          <w:t>https://getd.libs.uga.edu/pdfs/williams_rebecca_d_201508_phd.pdf</w:t>
        </w:r>
      </w:hyperlink>
      <w:r w:rsidR="001E4D21">
        <w:rPr>
          <w:rFonts w:ascii="Candara" w:hAnsi="Candara" w:cs="Arial"/>
          <w:sz w:val="20"/>
          <w:szCs w:val="20"/>
        </w:rPr>
        <w:t xml:space="preserve"> (Accessed 06.04.23)</w:t>
      </w:r>
    </w:p>
    <w:p w14:paraId="40E745BB" w14:textId="71810879" w:rsidR="003A1BFF" w:rsidRPr="00A759FF" w:rsidRDefault="00D46E7C" w:rsidP="00D46E7C">
      <w:pPr>
        <w:rPr>
          <w:rFonts w:ascii="Candara" w:hAnsi="Candara" w:cs="Arial"/>
          <w:sz w:val="20"/>
          <w:szCs w:val="20"/>
        </w:rPr>
      </w:pPr>
      <w:proofErr w:type="spellStart"/>
      <w:r w:rsidRPr="00A85E8D">
        <w:rPr>
          <w:rFonts w:ascii="Candara" w:hAnsi="Candara" w:cs="Arial"/>
          <w:sz w:val="20"/>
          <w:szCs w:val="20"/>
        </w:rPr>
        <w:t>Zeichner</w:t>
      </w:r>
      <w:proofErr w:type="spellEnd"/>
      <w:r w:rsidRPr="00A85E8D">
        <w:rPr>
          <w:rFonts w:ascii="Candara" w:hAnsi="Candara" w:cs="Arial"/>
          <w:sz w:val="20"/>
          <w:szCs w:val="20"/>
        </w:rPr>
        <w:t xml:space="preserve">, K. M., and </w:t>
      </w:r>
      <w:proofErr w:type="spellStart"/>
      <w:r w:rsidRPr="00A85E8D">
        <w:rPr>
          <w:rFonts w:ascii="Candara" w:hAnsi="Candara" w:cs="Arial"/>
          <w:sz w:val="20"/>
          <w:szCs w:val="20"/>
        </w:rPr>
        <w:t>Tabachnick</w:t>
      </w:r>
      <w:proofErr w:type="spellEnd"/>
      <w:r w:rsidRPr="00A85E8D">
        <w:rPr>
          <w:rFonts w:ascii="Candara" w:hAnsi="Candara" w:cs="Arial"/>
          <w:sz w:val="20"/>
          <w:szCs w:val="20"/>
        </w:rPr>
        <w:t>, B. R. (1984). The development of teacher perspectives: Social strategies and institutional control in the socialization of beginning teachers. Madison: University of Wisconsin</w:t>
      </w:r>
    </w:p>
    <w:p w14:paraId="79E66C4B" w14:textId="122AEB23" w:rsidR="00D30E9A" w:rsidRPr="007B3E01" w:rsidRDefault="00675608" w:rsidP="00D46E7C">
      <w:pPr>
        <w:rPr>
          <w:rFonts w:ascii="Candara" w:hAnsi="Candara" w:cs="Arial"/>
          <w:sz w:val="20"/>
          <w:szCs w:val="20"/>
          <w:shd w:val="clear" w:color="auto" w:fill="FFFFFF"/>
        </w:rPr>
      </w:pPr>
      <w:r w:rsidRPr="00675608">
        <w:rPr>
          <w:rFonts w:ascii="Candara" w:hAnsi="Candara" w:cs="Arial"/>
          <w:sz w:val="20"/>
          <w:szCs w:val="20"/>
          <w:shd w:val="clear" w:color="auto" w:fill="FFFFFF"/>
        </w:rPr>
        <w:t>Rui Yuan, Paul Stapleton</w:t>
      </w:r>
      <w:r>
        <w:rPr>
          <w:rFonts w:ascii="Candara" w:hAnsi="Candara" w:cs="Arial"/>
          <w:sz w:val="20"/>
          <w:szCs w:val="20"/>
          <w:shd w:val="clear" w:color="auto" w:fill="FFFFFF"/>
        </w:rPr>
        <w:t>,</w:t>
      </w:r>
      <w:r w:rsidRPr="00675608">
        <w:rPr>
          <w:rFonts w:ascii="Candara" w:hAnsi="Candara" w:cs="Arial"/>
          <w:sz w:val="20"/>
          <w:szCs w:val="20"/>
          <w:shd w:val="clear" w:color="auto" w:fill="FFFFFF"/>
        </w:rPr>
        <w:t xml:space="preserve"> Student teachers’ perceptions of critical thinking and its teaching</w:t>
      </w:r>
      <w:r>
        <w:rPr>
          <w:rFonts w:ascii="Candara" w:hAnsi="Candara" w:cs="Arial"/>
          <w:sz w:val="20"/>
          <w:szCs w:val="20"/>
          <w:shd w:val="clear" w:color="auto" w:fill="FFFFFF"/>
        </w:rPr>
        <w:t>.</w:t>
      </w:r>
      <w:r w:rsidRPr="00675608">
        <w:rPr>
          <w:rFonts w:ascii="Candara" w:hAnsi="Candara" w:cs="Arial"/>
          <w:sz w:val="20"/>
          <w:szCs w:val="20"/>
          <w:shd w:val="clear" w:color="auto" w:fill="FFFFFF"/>
        </w:rPr>
        <w:t xml:space="preserve"> ELT Journal, Volume 74, Issue 1, January 2020, Pages 40–48</w:t>
      </w:r>
    </w:p>
    <w:sectPr w:rsidR="00D30E9A" w:rsidRPr="007B3E0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F92E" w14:textId="77777777" w:rsidR="006A2FB3" w:rsidRDefault="006A2FB3" w:rsidP="007B3E01">
      <w:pPr>
        <w:spacing w:after="0" w:line="240" w:lineRule="auto"/>
      </w:pPr>
      <w:r>
        <w:separator/>
      </w:r>
    </w:p>
  </w:endnote>
  <w:endnote w:type="continuationSeparator" w:id="0">
    <w:p w14:paraId="3AB2B1B5" w14:textId="77777777" w:rsidR="006A2FB3" w:rsidRDefault="006A2FB3" w:rsidP="007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92CE" w14:textId="77777777" w:rsidR="007B3E01" w:rsidRDefault="007B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495" w14:textId="77777777" w:rsidR="007B3E01" w:rsidRDefault="007B3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8479" w14:textId="77777777" w:rsidR="007B3E01" w:rsidRDefault="007B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5935" w14:textId="77777777" w:rsidR="006A2FB3" w:rsidRDefault="006A2FB3" w:rsidP="007B3E01">
      <w:pPr>
        <w:spacing w:after="0" w:line="240" w:lineRule="auto"/>
      </w:pPr>
      <w:r>
        <w:separator/>
      </w:r>
    </w:p>
  </w:footnote>
  <w:footnote w:type="continuationSeparator" w:id="0">
    <w:p w14:paraId="4EB58ADA" w14:textId="77777777" w:rsidR="006A2FB3" w:rsidRDefault="006A2FB3" w:rsidP="007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F17" w14:textId="761660A7" w:rsidR="007B3E01" w:rsidRDefault="007B3E01">
    <w:pPr>
      <w:pStyle w:val="Header"/>
    </w:pPr>
    <w:r>
      <w:rPr>
        <w:noProof/>
      </w:rPr>
      <w:pict w14:anchorId="75667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3610" o:spid="_x0000_s1026" type="#_x0000_t136" style="position:absolute;margin-left:0;margin-top:0;width:549.45pt;height:86.75pt;rotation:315;z-index:-251655168;mso-position-horizontal:center;mso-position-horizontal-relative:margin;mso-position-vertical:center;mso-position-vertical-relative:margin" o:allowincell="f" fillcolor="silver" stroked="f">
          <v:fill opacity=".5"/>
          <v:textpath style="font-family:&quot;Calibri&quot;;font-size:1pt" string="DRAFT and INCOMPLE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F2DC" w14:textId="377ED8C3" w:rsidR="007B3E01" w:rsidRDefault="007B3E01">
    <w:pPr>
      <w:pStyle w:val="Header"/>
    </w:pPr>
    <w:r>
      <w:rPr>
        <w:noProof/>
      </w:rPr>
      <w:pict w14:anchorId="3D887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3611" o:spid="_x0000_s1027" type="#_x0000_t136" style="position:absolute;margin-left:0;margin-top:0;width:549.45pt;height:86.75pt;rotation:315;z-index:-251653120;mso-position-horizontal:center;mso-position-horizontal-relative:margin;mso-position-vertical:center;mso-position-vertical-relative:margin" o:allowincell="f" fillcolor="silver" stroked="f">
          <v:fill opacity=".5"/>
          <v:textpath style="font-family:&quot;Calibri&quot;;font-size:1pt" string="DRAFT and INCOMPLE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34FB" w14:textId="13CE0F91" w:rsidR="007B3E01" w:rsidRDefault="007B3E01">
    <w:pPr>
      <w:pStyle w:val="Header"/>
    </w:pPr>
    <w:r>
      <w:rPr>
        <w:noProof/>
      </w:rPr>
      <w:pict w14:anchorId="603CB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3609" o:spid="_x0000_s1025" type="#_x0000_t136" style="position:absolute;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DRAFT and INCOMPLE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925"/>
    <w:multiLevelType w:val="multilevel"/>
    <w:tmpl w:val="53C4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49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7C"/>
    <w:rsid w:val="000173C6"/>
    <w:rsid w:val="00025691"/>
    <w:rsid w:val="00036A4F"/>
    <w:rsid w:val="00051480"/>
    <w:rsid w:val="00056E4D"/>
    <w:rsid w:val="00073AED"/>
    <w:rsid w:val="000A6B20"/>
    <w:rsid w:val="00102CF0"/>
    <w:rsid w:val="001234DD"/>
    <w:rsid w:val="00124A7A"/>
    <w:rsid w:val="001319FB"/>
    <w:rsid w:val="001806F6"/>
    <w:rsid w:val="001A5531"/>
    <w:rsid w:val="001C7C9E"/>
    <w:rsid w:val="001E2A4C"/>
    <w:rsid w:val="001E4D21"/>
    <w:rsid w:val="00201ED8"/>
    <w:rsid w:val="002A6E62"/>
    <w:rsid w:val="002B0F61"/>
    <w:rsid w:val="003363BA"/>
    <w:rsid w:val="00337FFC"/>
    <w:rsid w:val="003402A9"/>
    <w:rsid w:val="0035055F"/>
    <w:rsid w:val="00355F41"/>
    <w:rsid w:val="003A1BFF"/>
    <w:rsid w:val="003D6A12"/>
    <w:rsid w:val="00452DB1"/>
    <w:rsid w:val="00484BAC"/>
    <w:rsid w:val="004869E2"/>
    <w:rsid w:val="004F5FE2"/>
    <w:rsid w:val="005349C4"/>
    <w:rsid w:val="00542B83"/>
    <w:rsid w:val="0054380E"/>
    <w:rsid w:val="005910A8"/>
    <w:rsid w:val="005C32E6"/>
    <w:rsid w:val="005C66DF"/>
    <w:rsid w:val="005D791D"/>
    <w:rsid w:val="006119F0"/>
    <w:rsid w:val="00646CFB"/>
    <w:rsid w:val="00653041"/>
    <w:rsid w:val="00655C6D"/>
    <w:rsid w:val="00675608"/>
    <w:rsid w:val="00684379"/>
    <w:rsid w:val="006A2FB3"/>
    <w:rsid w:val="006A35B2"/>
    <w:rsid w:val="006C1A7E"/>
    <w:rsid w:val="006F5DC6"/>
    <w:rsid w:val="00707753"/>
    <w:rsid w:val="007124AA"/>
    <w:rsid w:val="00753AA2"/>
    <w:rsid w:val="00766A1B"/>
    <w:rsid w:val="00797F53"/>
    <w:rsid w:val="007B3E01"/>
    <w:rsid w:val="007E589B"/>
    <w:rsid w:val="008136F7"/>
    <w:rsid w:val="0081606C"/>
    <w:rsid w:val="008247C1"/>
    <w:rsid w:val="00880B22"/>
    <w:rsid w:val="00890149"/>
    <w:rsid w:val="0089792B"/>
    <w:rsid w:val="008C2AE4"/>
    <w:rsid w:val="008D3282"/>
    <w:rsid w:val="008E7614"/>
    <w:rsid w:val="00944B75"/>
    <w:rsid w:val="009849EC"/>
    <w:rsid w:val="009A2628"/>
    <w:rsid w:val="009B4D41"/>
    <w:rsid w:val="00A10C8D"/>
    <w:rsid w:val="00A16498"/>
    <w:rsid w:val="00A71581"/>
    <w:rsid w:val="00A718F2"/>
    <w:rsid w:val="00A759FF"/>
    <w:rsid w:val="00A85E8D"/>
    <w:rsid w:val="00A8603E"/>
    <w:rsid w:val="00A9082E"/>
    <w:rsid w:val="00AC2FC2"/>
    <w:rsid w:val="00AD4AB7"/>
    <w:rsid w:val="00AE191D"/>
    <w:rsid w:val="00B27965"/>
    <w:rsid w:val="00B55F37"/>
    <w:rsid w:val="00B61564"/>
    <w:rsid w:val="00B6598B"/>
    <w:rsid w:val="00B67D29"/>
    <w:rsid w:val="00B7296E"/>
    <w:rsid w:val="00B95774"/>
    <w:rsid w:val="00BD0DEC"/>
    <w:rsid w:val="00BE7EE8"/>
    <w:rsid w:val="00BF0B9C"/>
    <w:rsid w:val="00C001B4"/>
    <w:rsid w:val="00C07075"/>
    <w:rsid w:val="00C74F64"/>
    <w:rsid w:val="00CE164D"/>
    <w:rsid w:val="00D06D5C"/>
    <w:rsid w:val="00D30E9A"/>
    <w:rsid w:val="00D3245C"/>
    <w:rsid w:val="00D409E9"/>
    <w:rsid w:val="00D40DC3"/>
    <w:rsid w:val="00D46B61"/>
    <w:rsid w:val="00D46E7C"/>
    <w:rsid w:val="00D56464"/>
    <w:rsid w:val="00D8083F"/>
    <w:rsid w:val="00DA3465"/>
    <w:rsid w:val="00DB6A11"/>
    <w:rsid w:val="00DC224A"/>
    <w:rsid w:val="00DE5456"/>
    <w:rsid w:val="00E10B15"/>
    <w:rsid w:val="00E17DC5"/>
    <w:rsid w:val="00E30F1B"/>
    <w:rsid w:val="00E31673"/>
    <w:rsid w:val="00E8610E"/>
    <w:rsid w:val="00E92FE2"/>
    <w:rsid w:val="00EC2032"/>
    <w:rsid w:val="00EC2359"/>
    <w:rsid w:val="00ED2049"/>
    <w:rsid w:val="00F0136C"/>
    <w:rsid w:val="00F5086D"/>
    <w:rsid w:val="00F62482"/>
    <w:rsid w:val="00F87F29"/>
    <w:rsid w:val="00FB0964"/>
    <w:rsid w:val="00FB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B47B"/>
  <w15:docId w15:val="{7BCB9EA9-D581-46B4-AB08-A75202B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964"/>
    <w:rPr>
      <w:color w:val="0563C1" w:themeColor="hyperlink"/>
      <w:u w:val="single"/>
    </w:rPr>
  </w:style>
  <w:style w:type="character" w:styleId="UnresolvedMention">
    <w:name w:val="Unresolved Mention"/>
    <w:basedOn w:val="DefaultParagraphFont"/>
    <w:uiPriority w:val="99"/>
    <w:semiHidden/>
    <w:unhideWhenUsed/>
    <w:rsid w:val="00FB0964"/>
    <w:rPr>
      <w:color w:val="605E5C"/>
      <w:shd w:val="clear" w:color="auto" w:fill="E1DFDD"/>
    </w:rPr>
  </w:style>
  <w:style w:type="paragraph" w:styleId="Header">
    <w:name w:val="header"/>
    <w:basedOn w:val="Normal"/>
    <w:link w:val="HeaderChar"/>
    <w:uiPriority w:val="99"/>
    <w:unhideWhenUsed/>
    <w:rsid w:val="007B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E01"/>
  </w:style>
  <w:style w:type="paragraph" w:styleId="Footer">
    <w:name w:val="footer"/>
    <w:basedOn w:val="Normal"/>
    <w:link w:val="FooterChar"/>
    <w:uiPriority w:val="99"/>
    <w:unhideWhenUsed/>
    <w:rsid w:val="007B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4710">
      <w:bodyDiv w:val="1"/>
      <w:marLeft w:val="0"/>
      <w:marRight w:val="0"/>
      <w:marTop w:val="0"/>
      <w:marBottom w:val="0"/>
      <w:divBdr>
        <w:top w:val="none" w:sz="0" w:space="0" w:color="auto"/>
        <w:left w:val="none" w:sz="0" w:space="0" w:color="auto"/>
        <w:bottom w:val="none" w:sz="0" w:space="0" w:color="auto"/>
        <w:right w:val="none" w:sz="0" w:space="0" w:color="auto"/>
      </w:divBdr>
      <w:divsChild>
        <w:div w:id="185533101">
          <w:marLeft w:val="0"/>
          <w:marRight w:val="0"/>
          <w:marTop w:val="0"/>
          <w:marBottom w:val="0"/>
          <w:divBdr>
            <w:top w:val="none" w:sz="0" w:space="0" w:color="auto"/>
            <w:left w:val="none" w:sz="0" w:space="0" w:color="auto"/>
            <w:bottom w:val="none" w:sz="0" w:space="0" w:color="auto"/>
            <w:right w:val="none" w:sz="0" w:space="0" w:color="auto"/>
          </w:divBdr>
          <w:divsChild>
            <w:div w:id="380247385">
              <w:marLeft w:val="0"/>
              <w:marRight w:val="0"/>
              <w:marTop w:val="0"/>
              <w:marBottom w:val="0"/>
              <w:divBdr>
                <w:top w:val="none" w:sz="0" w:space="0" w:color="auto"/>
                <w:left w:val="none" w:sz="0" w:space="0" w:color="auto"/>
                <w:bottom w:val="none" w:sz="0" w:space="0" w:color="auto"/>
                <w:right w:val="none" w:sz="0" w:space="0" w:color="auto"/>
              </w:divBdr>
            </w:div>
            <w:div w:id="1707900156">
              <w:marLeft w:val="0"/>
              <w:marRight w:val="0"/>
              <w:marTop w:val="0"/>
              <w:marBottom w:val="0"/>
              <w:divBdr>
                <w:top w:val="none" w:sz="0" w:space="0" w:color="auto"/>
                <w:left w:val="none" w:sz="0" w:space="0" w:color="auto"/>
                <w:bottom w:val="none" w:sz="0" w:space="0" w:color="auto"/>
                <w:right w:val="none" w:sz="0" w:space="0" w:color="auto"/>
              </w:divBdr>
            </w:div>
          </w:divsChild>
        </w:div>
        <w:div w:id="535584579">
          <w:marLeft w:val="0"/>
          <w:marRight w:val="0"/>
          <w:marTop w:val="0"/>
          <w:marBottom w:val="0"/>
          <w:divBdr>
            <w:top w:val="none" w:sz="0" w:space="0" w:color="auto"/>
            <w:left w:val="none" w:sz="0" w:space="0" w:color="auto"/>
            <w:bottom w:val="none" w:sz="0" w:space="0" w:color="auto"/>
            <w:right w:val="none" w:sz="0" w:space="0" w:color="auto"/>
          </w:divBdr>
        </w:div>
      </w:divsChild>
    </w:div>
    <w:div w:id="874776914">
      <w:bodyDiv w:val="1"/>
      <w:marLeft w:val="0"/>
      <w:marRight w:val="0"/>
      <w:marTop w:val="0"/>
      <w:marBottom w:val="0"/>
      <w:divBdr>
        <w:top w:val="none" w:sz="0" w:space="0" w:color="auto"/>
        <w:left w:val="none" w:sz="0" w:space="0" w:color="auto"/>
        <w:bottom w:val="none" w:sz="0" w:space="0" w:color="auto"/>
        <w:right w:val="none" w:sz="0" w:space="0" w:color="auto"/>
      </w:divBdr>
      <w:divsChild>
        <w:div w:id="53821354">
          <w:marLeft w:val="0"/>
          <w:marRight w:val="0"/>
          <w:marTop w:val="0"/>
          <w:marBottom w:val="0"/>
          <w:divBdr>
            <w:top w:val="none" w:sz="0" w:space="0" w:color="auto"/>
            <w:left w:val="none" w:sz="0" w:space="0" w:color="auto"/>
            <w:bottom w:val="none" w:sz="0" w:space="0" w:color="auto"/>
            <w:right w:val="none" w:sz="0" w:space="0" w:color="auto"/>
          </w:divBdr>
          <w:divsChild>
            <w:div w:id="1449466428">
              <w:marLeft w:val="0"/>
              <w:marRight w:val="0"/>
              <w:marTop w:val="0"/>
              <w:marBottom w:val="0"/>
              <w:divBdr>
                <w:top w:val="none" w:sz="0" w:space="0" w:color="auto"/>
                <w:left w:val="none" w:sz="0" w:space="0" w:color="auto"/>
                <w:bottom w:val="none" w:sz="0" w:space="0" w:color="auto"/>
                <w:right w:val="none" w:sz="0" w:space="0" w:color="auto"/>
              </w:divBdr>
            </w:div>
            <w:div w:id="1928417382">
              <w:marLeft w:val="0"/>
              <w:marRight w:val="0"/>
              <w:marTop w:val="0"/>
              <w:marBottom w:val="0"/>
              <w:divBdr>
                <w:top w:val="none" w:sz="0" w:space="0" w:color="auto"/>
                <w:left w:val="none" w:sz="0" w:space="0" w:color="auto"/>
                <w:bottom w:val="none" w:sz="0" w:space="0" w:color="auto"/>
                <w:right w:val="none" w:sz="0" w:space="0" w:color="auto"/>
              </w:divBdr>
            </w:div>
          </w:divsChild>
        </w:div>
        <w:div w:id="2099447486">
          <w:marLeft w:val="0"/>
          <w:marRight w:val="0"/>
          <w:marTop w:val="0"/>
          <w:marBottom w:val="0"/>
          <w:divBdr>
            <w:top w:val="none" w:sz="0" w:space="0" w:color="auto"/>
            <w:left w:val="none" w:sz="0" w:space="0" w:color="auto"/>
            <w:bottom w:val="none" w:sz="0" w:space="0" w:color="auto"/>
            <w:right w:val="none" w:sz="0" w:space="0" w:color="auto"/>
          </w:divBdr>
        </w:div>
      </w:divsChild>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sChild>
        <w:div w:id="82844789">
          <w:marLeft w:val="0"/>
          <w:marRight w:val="0"/>
          <w:marTop w:val="0"/>
          <w:marBottom w:val="0"/>
          <w:divBdr>
            <w:top w:val="none" w:sz="0" w:space="0" w:color="auto"/>
            <w:left w:val="none" w:sz="0" w:space="0" w:color="auto"/>
            <w:bottom w:val="none" w:sz="0" w:space="0" w:color="auto"/>
            <w:right w:val="none" w:sz="0" w:space="0" w:color="auto"/>
          </w:divBdr>
        </w:div>
      </w:divsChild>
    </w:div>
    <w:div w:id="1161657717">
      <w:bodyDiv w:val="1"/>
      <w:marLeft w:val="0"/>
      <w:marRight w:val="0"/>
      <w:marTop w:val="0"/>
      <w:marBottom w:val="0"/>
      <w:divBdr>
        <w:top w:val="none" w:sz="0" w:space="0" w:color="auto"/>
        <w:left w:val="none" w:sz="0" w:space="0" w:color="auto"/>
        <w:bottom w:val="none" w:sz="0" w:space="0" w:color="auto"/>
        <w:right w:val="none" w:sz="0" w:space="0" w:color="auto"/>
      </w:divBdr>
    </w:div>
    <w:div w:id="1244952048">
      <w:bodyDiv w:val="1"/>
      <w:marLeft w:val="0"/>
      <w:marRight w:val="0"/>
      <w:marTop w:val="0"/>
      <w:marBottom w:val="0"/>
      <w:divBdr>
        <w:top w:val="none" w:sz="0" w:space="0" w:color="auto"/>
        <w:left w:val="none" w:sz="0" w:space="0" w:color="auto"/>
        <w:bottom w:val="none" w:sz="0" w:space="0" w:color="auto"/>
        <w:right w:val="none" w:sz="0" w:space="0" w:color="auto"/>
      </w:divBdr>
      <w:divsChild>
        <w:div w:id="1278953861">
          <w:marLeft w:val="0"/>
          <w:marRight w:val="0"/>
          <w:marTop w:val="0"/>
          <w:marBottom w:val="0"/>
          <w:divBdr>
            <w:top w:val="none" w:sz="0" w:space="0" w:color="auto"/>
            <w:left w:val="none" w:sz="0" w:space="0" w:color="auto"/>
            <w:bottom w:val="none" w:sz="0" w:space="0" w:color="auto"/>
            <w:right w:val="none" w:sz="0" w:space="0" w:color="auto"/>
          </w:divBdr>
        </w:div>
        <w:div w:id="580793610">
          <w:marLeft w:val="0"/>
          <w:marRight w:val="0"/>
          <w:marTop w:val="0"/>
          <w:marBottom w:val="0"/>
          <w:divBdr>
            <w:top w:val="none" w:sz="0" w:space="0" w:color="auto"/>
            <w:left w:val="none" w:sz="0" w:space="0" w:color="auto"/>
            <w:bottom w:val="none" w:sz="0" w:space="0" w:color="auto"/>
            <w:right w:val="none" w:sz="0" w:space="0" w:color="auto"/>
          </w:divBdr>
        </w:div>
        <w:div w:id="1275477027">
          <w:marLeft w:val="0"/>
          <w:marRight w:val="0"/>
          <w:marTop w:val="0"/>
          <w:marBottom w:val="0"/>
          <w:divBdr>
            <w:top w:val="none" w:sz="0" w:space="0" w:color="auto"/>
            <w:left w:val="none" w:sz="0" w:space="0" w:color="auto"/>
            <w:bottom w:val="none" w:sz="0" w:space="0" w:color="auto"/>
            <w:right w:val="none" w:sz="0" w:space="0" w:color="auto"/>
          </w:divBdr>
        </w:div>
        <w:div w:id="545145894">
          <w:marLeft w:val="0"/>
          <w:marRight w:val="0"/>
          <w:marTop w:val="0"/>
          <w:marBottom w:val="0"/>
          <w:divBdr>
            <w:top w:val="none" w:sz="0" w:space="0" w:color="auto"/>
            <w:left w:val="none" w:sz="0" w:space="0" w:color="auto"/>
            <w:bottom w:val="none" w:sz="0" w:space="0" w:color="auto"/>
            <w:right w:val="none" w:sz="0" w:space="0" w:color="auto"/>
          </w:divBdr>
        </w:div>
        <w:div w:id="2041006643">
          <w:marLeft w:val="0"/>
          <w:marRight w:val="0"/>
          <w:marTop w:val="0"/>
          <w:marBottom w:val="0"/>
          <w:divBdr>
            <w:top w:val="none" w:sz="0" w:space="0" w:color="auto"/>
            <w:left w:val="none" w:sz="0" w:space="0" w:color="auto"/>
            <w:bottom w:val="none" w:sz="0" w:space="0" w:color="auto"/>
            <w:right w:val="none" w:sz="0" w:space="0" w:color="auto"/>
          </w:divBdr>
        </w:div>
        <w:div w:id="342636301">
          <w:marLeft w:val="0"/>
          <w:marRight w:val="0"/>
          <w:marTop w:val="0"/>
          <w:marBottom w:val="0"/>
          <w:divBdr>
            <w:top w:val="none" w:sz="0" w:space="0" w:color="auto"/>
            <w:left w:val="none" w:sz="0" w:space="0" w:color="auto"/>
            <w:bottom w:val="none" w:sz="0" w:space="0" w:color="auto"/>
            <w:right w:val="none" w:sz="0" w:space="0" w:color="auto"/>
          </w:divBdr>
        </w:div>
        <w:div w:id="263656689">
          <w:marLeft w:val="0"/>
          <w:marRight w:val="0"/>
          <w:marTop w:val="0"/>
          <w:marBottom w:val="0"/>
          <w:divBdr>
            <w:top w:val="none" w:sz="0" w:space="0" w:color="auto"/>
            <w:left w:val="none" w:sz="0" w:space="0" w:color="auto"/>
            <w:bottom w:val="none" w:sz="0" w:space="0" w:color="auto"/>
            <w:right w:val="none" w:sz="0" w:space="0" w:color="auto"/>
          </w:divBdr>
        </w:div>
        <w:div w:id="1659916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2051X04000824?casa_token=3cl3NgWS5hYAAAAA:s3JJdWY9bUz7KgAUMjJIbggobG4bAZCLMO54_9OO-Nri-bMIpfU0CiHeNQuUKXfZ9JZp54twOT0" TargetMode="External"/><Relationship Id="rId13" Type="http://schemas.openxmlformats.org/officeDocument/2006/relationships/hyperlink" Target="https://doi.org/10.1177/016146817707900105" TargetMode="External"/><Relationship Id="rId18" Type="http://schemas.openxmlformats.org/officeDocument/2006/relationships/hyperlink" Target="https://doi.org/10.1177/107780040528069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080/0142569042000294165" TargetMode="External"/><Relationship Id="rId12" Type="http://schemas.openxmlformats.org/officeDocument/2006/relationships/hyperlink" Target="https://doi.org/10.1073/pnas.0900234106" TargetMode="External"/><Relationship Id="rId17" Type="http://schemas.openxmlformats.org/officeDocument/2006/relationships/hyperlink" Target="https://doi.org/10.1080/15505170.2017.133525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007/s10671-015-9184-1" TargetMode="External"/><Relationship Id="rId20" Type="http://schemas.openxmlformats.org/officeDocument/2006/relationships/hyperlink" Target="https://getd.libs.uga.edu/pdfs/williams_rebecca_d_201508_ph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s-standard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80/03054985.2023.218276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early-career-framework" TargetMode="External"/><Relationship Id="rId19" Type="http://schemas.openxmlformats.org/officeDocument/2006/relationships/hyperlink" Target="http://dx.doi.org/10.1080/00405849309543590" TargetMode="External"/><Relationship Id="rId4" Type="http://schemas.openxmlformats.org/officeDocument/2006/relationships/webSettings" Target="webSettings.xml"/><Relationship Id="rId9" Type="http://schemas.openxmlformats.org/officeDocument/2006/relationships/hyperlink" Target="https://www.gov.uk/government/publications/initial-teacher-training-itt-core-content-framework" TargetMode="External"/><Relationship Id="rId14" Type="http://schemas.openxmlformats.org/officeDocument/2006/relationships/hyperlink" Target="http://www.maxinegreene.org/articles.ph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Smith (EDU - Staff)</dc:creator>
  <cp:keywords/>
  <dc:description/>
  <cp:lastModifiedBy>Teresa Smith (EDU - Staff)</cp:lastModifiedBy>
  <cp:revision>114</cp:revision>
  <dcterms:created xsi:type="dcterms:W3CDTF">2023-03-29T13:26:00Z</dcterms:created>
  <dcterms:modified xsi:type="dcterms:W3CDTF">2023-04-15T19:40:00Z</dcterms:modified>
</cp:coreProperties>
</file>